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91E5" w14:textId="77777777" w:rsidR="00642ECF" w:rsidRDefault="00642ECF" w:rsidP="00642ECF">
      <w:pPr>
        <w:pStyle w:val="NormalWeb"/>
      </w:pPr>
      <w:r>
        <w:rPr>
          <w:rFonts w:ascii="Aptos" w:hAnsi="Aptos"/>
          <w:color w:val="757070"/>
          <w:sz w:val="18"/>
          <w:szCs w:val="18"/>
        </w:rPr>
        <w:t xml:space="preserve">Innovative Methods for Video-On-Demand Research September 2024, Utrecht University </w:t>
      </w:r>
    </w:p>
    <w:p w14:paraId="6CA7C406" w14:textId="7526F374" w:rsidR="00642ECF" w:rsidRPr="00642ECF" w:rsidRDefault="00642ECF" w:rsidP="00642ECF">
      <w:pPr>
        <w:pStyle w:val="NormalWeb"/>
        <w:rPr>
          <w:rFonts w:ascii="CenturyGothic" w:hAnsi="CenturyGothic"/>
          <w:b/>
          <w:bCs/>
          <w:color w:val="114C6D"/>
          <w:sz w:val="28"/>
          <w:szCs w:val="28"/>
        </w:rPr>
      </w:pPr>
      <w:r w:rsidRPr="00642ECF">
        <w:rPr>
          <w:rFonts w:ascii="CenturyGothic" w:hAnsi="CenturyGothic"/>
          <w:b/>
          <w:bCs/>
          <w:color w:val="114C6D"/>
          <w:sz w:val="28"/>
          <w:szCs w:val="28"/>
        </w:rPr>
        <w:t>Measuring discoverability and prominence of European and domestic works: presenting a first methodological toolbox</w:t>
      </w:r>
    </w:p>
    <w:p w14:paraId="7B18161C" w14:textId="13D0EE4E" w:rsidR="00642ECF" w:rsidRDefault="00642ECF" w:rsidP="00642ECF">
      <w:pPr>
        <w:pStyle w:val="NormalWeb"/>
      </w:pPr>
      <w:r>
        <w:rPr>
          <w:rFonts w:ascii="Aptos" w:hAnsi="Aptos"/>
          <w:b/>
          <w:bCs/>
          <w:color w:val="114C6D"/>
          <w:sz w:val="22"/>
          <w:szCs w:val="22"/>
        </w:rPr>
        <w:t>Tim Raats</w:t>
      </w:r>
      <w:r>
        <w:rPr>
          <w:rFonts w:ascii="Aptos" w:hAnsi="Aptos"/>
          <w:color w:val="114C6D"/>
          <w:sz w:val="22"/>
          <w:szCs w:val="22"/>
        </w:rPr>
        <w:t>, imec-SMIT, Vrije Universiteit Brussel</w:t>
      </w:r>
      <w:r>
        <w:rPr>
          <w:rFonts w:ascii="Aptos" w:hAnsi="Aptos"/>
          <w:color w:val="114C6D"/>
          <w:sz w:val="22"/>
          <w:szCs w:val="22"/>
          <w:lang w:val="nl-NL"/>
        </w:rPr>
        <w:t xml:space="preserve">, </w:t>
      </w:r>
      <w:r>
        <w:rPr>
          <w:rFonts w:ascii="Aptos" w:hAnsi="Aptos"/>
          <w:b/>
          <w:bCs/>
          <w:color w:val="114C6D"/>
          <w:sz w:val="22"/>
          <w:szCs w:val="22"/>
        </w:rPr>
        <w:t>Catalina Iordache</w:t>
      </w:r>
      <w:r>
        <w:rPr>
          <w:rFonts w:ascii="Aptos" w:hAnsi="Aptos"/>
          <w:color w:val="114C6D"/>
          <w:sz w:val="22"/>
          <w:szCs w:val="22"/>
        </w:rPr>
        <w:t xml:space="preserve">, imec-SMIT, Vrije Universiteit Brussel </w:t>
      </w:r>
      <w:r>
        <w:rPr>
          <w:rFonts w:ascii="Aptos" w:hAnsi="Aptos"/>
          <w:b/>
          <w:bCs/>
          <w:color w:val="114C6D"/>
          <w:sz w:val="22"/>
          <w:szCs w:val="22"/>
        </w:rPr>
        <w:t>Ma Trinidad García Leiva</w:t>
      </w:r>
      <w:r>
        <w:rPr>
          <w:rFonts w:ascii="Aptos" w:hAnsi="Aptos"/>
          <w:color w:val="114C6D"/>
          <w:sz w:val="22"/>
          <w:szCs w:val="22"/>
        </w:rPr>
        <w:t xml:space="preserve">, Universidad Carlos III de Madrid </w:t>
      </w:r>
    </w:p>
    <w:p w14:paraId="66151ACB" w14:textId="3799C048" w:rsidR="00642ECF" w:rsidRPr="00E3090B" w:rsidRDefault="00E3090B" w:rsidP="00642ECF">
      <w:pPr>
        <w:pStyle w:val="NormalWeb"/>
        <w:rPr>
          <w:rFonts w:ascii="Aptos" w:hAnsi="Aptos"/>
          <w:b/>
          <w:bCs/>
          <w:color w:val="114C6D"/>
          <w:lang w:val="en-US"/>
        </w:rPr>
      </w:pPr>
      <w:r w:rsidRPr="00E3090B">
        <w:rPr>
          <w:rFonts w:ascii="Aptos" w:hAnsi="Aptos"/>
          <w:b/>
          <w:bCs/>
          <w:color w:val="114C6D"/>
          <w:lang w:val="en-US"/>
        </w:rPr>
        <w:t>Context</w:t>
      </w:r>
    </w:p>
    <w:p w14:paraId="0A3689BF" w14:textId="77777777" w:rsidR="00065FFC" w:rsidRDefault="00642ECF" w:rsidP="00642ECF">
      <w:pPr>
        <w:rPr>
          <w:rFonts w:ascii="Aptos" w:hAnsi="Aptos"/>
          <w:color w:val="000000" w:themeColor="text1"/>
          <w:sz w:val="22"/>
          <w:szCs w:val="22"/>
          <w:lang w:val="en-US"/>
        </w:rPr>
      </w:pPr>
      <w:r w:rsidRPr="00642ECF">
        <w:rPr>
          <w:rFonts w:ascii="Aptos" w:hAnsi="Aptos"/>
          <w:color w:val="000000" w:themeColor="text1"/>
          <w:sz w:val="22"/>
          <w:szCs w:val="22"/>
        </w:rPr>
        <w:t xml:space="preserve">Within streaming studies, scholars have concentrated on delineating the diversity of </w:t>
      </w:r>
      <w:r w:rsidR="00FB0D9A" w:rsidRPr="00FB0D9A">
        <w:rPr>
          <w:rFonts w:ascii="Aptos" w:hAnsi="Aptos"/>
          <w:color w:val="000000" w:themeColor="text1"/>
          <w:sz w:val="22"/>
          <w:szCs w:val="22"/>
          <w:lang w:val="en-US"/>
        </w:rPr>
        <w:t xml:space="preserve">(mostly US streaming </w:t>
      </w:r>
      <w:r w:rsidR="00FB0D9A">
        <w:rPr>
          <w:rFonts w:ascii="Aptos" w:hAnsi="Aptos"/>
          <w:color w:val="000000" w:themeColor="text1"/>
          <w:sz w:val="22"/>
          <w:szCs w:val="22"/>
          <w:lang w:val="en-US"/>
        </w:rPr>
        <w:t xml:space="preserve">services’) </w:t>
      </w:r>
      <w:r w:rsidRPr="00642ECF">
        <w:rPr>
          <w:rFonts w:ascii="Aptos" w:hAnsi="Aptos"/>
          <w:color w:val="000000" w:themeColor="text1"/>
          <w:sz w:val="22"/>
          <w:szCs w:val="22"/>
          <w:lang w:val="en-US"/>
        </w:rPr>
        <w:t>video-on-demand</w:t>
      </w:r>
      <w:r w:rsidR="00FB0D9A">
        <w:rPr>
          <w:rFonts w:ascii="Aptos" w:hAnsi="Aptos"/>
          <w:color w:val="000000" w:themeColor="text1"/>
          <w:sz w:val="22"/>
          <w:szCs w:val="22"/>
          <w:lang w:val="en-US"/>
        </w:rPr>
        <w:t xml:space="preserve"> offerings. They often do so through the lens of capturing the existence of particular domestic or regional offerings (with a dominant focus of European presence) within  </w:t>
      </w:r>
      <w:r w:rsidRPr="00642ECF">
        <w:rPr>
          <w:rFonts w:ascii="Aptos" w:hAnsi="Aptos"/>
          <w:color w:val="000000" w:themeColor="text1"/>
          <w:sz w:val="22"/>
          <w:szCs w:val="22"/>
        </w:rPr>
        <w:t xml:space="preserve">catalogues (Iordache et al., 2023a; b; Iordache &amp; Raats, 2023; Garcia Leiva &amp; Albornoz, 2021; Albornoz &amp; </w:t>
      </w:r>
      <w:r w:rsidR="005744F4" w:rsidRPr="005744F4">
        <w:rPr>
          <w:rFonts w:ascii="Aptos" w:hAnsi="Aptos"/>
          <w:color w:val="000000" w:themeColor="text1"/>
          <w:sz w:val="22"/>
          <w:szCs w:val="22"/>
          <w:lang w:val="en-US"/>
        </w:rPr>
        <w:t xml:space="preserve">Garcia </w:t>
      </w:r>
      <w:r w:rsidRPr="00642ECF">
        <w:rPr>
          <w:rFonts w:ascii="Aptos" w:hAnsi="Aptos"/>
          <w:color w:val="000000" w:themeColor="text1"/>
          <w:sz w:val="22"/>
          <w:szCs w:val="22"/>
        </w:rPr>
        <w:t xml:space="preserve">Leiva, 2022; Baschiera &amp; Re, 2019; </w:t>
      </w:r>
      <w:proofErr w:type="spellStart"/>
      <w:r w:rsidR="0071346C" w:rsidRPr="0071346C">
        <w:rPr>
          <w:rFonts w:ascii="Aptos" w:hAnsi="Aptos"/>
          <w:color w:val="000000" w:themeColor="text1"/>
          <w:sz w:val="22"/>
          <w:szCs w:val="22"/>
          <w:lang w:val="en-US"/>
        </w:rPr>
        <w:t>Scar</w:t>
      </w:r>
      <w:r w:rsidR="0071346C">
        <w:rPr>
          <w:rFonts w:ascii="Aptos" w:hAnsi="Aptos"/>
          <w:color w:val="000000" w:themeColor="text1"/>
          <w:sz w:val="22"/>
          <w:szCs w:val="22"/>
          <w:lang w:val="en-US"/>
        </w:rPr>
        <w:t>lata</w:t>
      </w:r>
      <w:proofErr w:type="spellEnd"/>
      <w:r w:rsidR="0071346C">
        <w:rPr>
          <w:rFonts w:ascii="Aptos" w:hAnsi="Aptos"/>
          <w:color w:val="000000" w:themeColor="text1"/>
          <w:sz w:val="22"/>
          <w:szCs w:val="22"/>
          <w:lang w:val="en-US"/>
        </w:rPr>
        <w:t xml:space="preserve"> and Lobato, 2023;</w:t>
      </w:r>
      <w:r w:rsidRPr="00642ECF">
        <w:rPr>
          <w:rFonts w:ascii="Aptos" w:hAnsi="Aptos"/>
          <w:color w:val="000000" w:themeColor="text1"/>
          <w:sz w:val="22"/>
          <w:szCs w:val="22"/>
        </w:rPr>
        <w:t xml:space="preserve"> Navarro &amp; Monclus, 2021; Smits, 2022</w:t>
      </w:r>
      <w:r w:rsidRPr="00642ECF">
        <w:rPr>
          <w:rFonts w:ascii="Aptos" w:hAnsi="Aptos"/>
          <w:color w:val="000000" w:themeColor="text1"/>
          <w:sz w:val="22"/>
          <w:szCs w:val="22"/>
          <w:lang w:val="en-US"/>
        </w:rPr>
        <w:t xml:space="preserve">; </w:t>
      </w:r>
      <w:proofErr w:type="spellStart"/>
      <w:r w:rsidRPr="00642ECF">
        <w:rPr>
          <w:rFonts w:ascii="Aptos" w:hAnsi="Aptos"/>
          <w:color w:val="000000" w:themeColor="text1"/>
          <w:sz w:val="22"/>
          <w:szCs w:val="22"/>
          <w:lang w:val="en-US"/>
        </w:rPr>
        <w:t>Bengesser</w:t>
      </w:r>
      <w:proofErr w:type="spellEnd"/>
      <w:r w:rsidRPr="00642ECF">
        <w:rPr>
          <w:rFonts w:ascii="Aptos" w:hAnsi="Aptos"/>
          <w:color w:val="000000" w:themeColor="text1"/>
          <w:sz w:val="22"/>
          <w:szCs w:val="22"/>
          <w:lang w:val="en-US"/>
        </w:rPr>
        <w:t xml:space="preserve"> et al. 2024</w:t>
      </w:r>
      <w:r w:rsidR="00065FFC">
        <w:rPr>
          <w:rFonts w:ascii="Aptos" w:hAnsi="Aptos"/>
          <w:color w:val="000000" w:themeColor="text1"/>
          <w:sz w:val="22"/>
          <w:szCs w:val="22"/>
          <w:lang w:val="en-US"/>
        </w:rPr>
        <w:t xml:space="preserve">; </w:t>
      </w:r>
      <w:proofErr w:type="spellStart"/>
      <w:r w:rsidR="00065FFC">
        <w:rPr>
          <w:rFonts w:ascii="Aptos" w:hAnsi="Aptos"/>
          <w:color w:val="000000" w:themeColor="text1"/>
          <w:sz w:val="22"/>
          <w:szCs w:val="22"/>
          <w:lang w:val="en-US"/>
        </w:rPr>
        <w:t>Aranzubia</w:t>
      </w:r>
      <w:proofErr w:type="spellEnd"/>
      <w:r w:rsidR="00065FFC">
        <w:rPr>
          <w:rFonts w:ascii="Aptos" w:hAnsi="Aptos"/>
          <w:color w:val="000000" w:themeColor="text1"/>
          <w:sz w:val="22"/>
          <w:szCs w:val="22"/>
          <w:lang w:val="en-US"/>
        </w:rPr>
        <w:t>, 2021</w:t>
      </w:r>
      <w:r w:rsidRPr="00642ECF">
        <w:rPr>
          <w:rFonts w:ascii="Aptos" w:hAnsi="Aptos"/>
          <w:color w:val="000000" w:themeColor="text1"/>
          <w:sz w:val="22"/>
          <w:szCs w:val="22"/>
        </w:rPr>
        <w:t xml:space="preserve">) or </w:t>
      </w:r>
      <w:r w:rsidR="00FB0D9A" w:rsidRPr="00FB0D9A">
        <w:rPr>
          <w:rFonts w:ascii="Aptos" w:hAnsi="Aptos"/>
          <w:color w:val="000000" w:themeColor="text1"/>
          <w:sz w:val="22"/>
          <w:szCs w:val="22"/>
          <w:lang w:val="en-US"/>
        </w:rPr>
        <w:t>by</w:t>
      </w:r>
      <w:r w:rsidR="00FB0D9A">
        <w:rPr>
          <w:rFonts w:ascii="Aptos" w:hAnsi="Aptos"/>
          <w:color w:val="000000" w:themeColor="text1"/>
          <w:sz w:val="22"/>
          <w:szCs w:val="22"/>
          <w:lang w:val="en-US"/>
        </w:rPr>
        <w:t xml:space="preserve"> </w:t>
      </w:r>
      <w:r w:rsidRPr="00642ECF">
        <w:rPr>
          <w:rFonts w:ascii="Aptos" w:hAnsi="Aptos"/>
          <w:color w:val="000000" w:themeColor="text1"/>
          <w:sz w:val="22"/>
          <w:szCs w:val="22"/>
        </w:rPr>
        <w:t>scrutinizing investment patterns of global streaming services (</w:t>
      </w:r>
      <w:proofErr w:type="spellStart"/>
      <w:r w:rsidR="005744F4" w:rsidRPr="005744F4">
        <w:rPr>
          <w:rFonts w:ascii="Aptos" w:hAnsi="Aptos"/>
          <w:color w:val="000000" w:themeColor="text1"/>
          <w:sz w:val="22"/>
          <w:szCs w:val="22"/>
          <w:lang w:val="en-US"/>
        </w:rPr>
        <w:t>Afil</w:t>
      </w:r>
      <w:r w:rsidR="005744F4">
        <w:rPr>
          <w:rFonts w:ascii="Aptos" w:hAnsi="Aptos"/>
          <w:color w:val="000000" w:themeColor="text1"/>
          <w:sz w:val="22"/>
          <w:szCs w:val="22"/>
          <w:lang w:val="en-US"/>
        </w:rPr>
        <w:t>ipoaie</w:t>
      </w:r>
      <w:proofErr w:type="spellEnd"/>
      <w:r w:rsidR="005744F4">
        <w:rPr>
          <w:rFonts w:ascii="Aptos" w:hAnsi="Aptos"/>
          <w:color w:val="000000" w:themeColor="text1"/>
          <w:sz w:val="22"/>
          <w:szCs w:val="22"/>
          <w:lang w:val="en-US"/>
        </w:rPr>
        <w:t xml:space="preserve"> et al.</w:t>
      </w:r>
      <w:r w:rsidRPr="00642ECF">
        <w:rPr>
          <w:rFonts w:ascii="Aptos" w:hAnsi="Aptos"/>
          <w:color w:val="000000" w:themeColor="text1"/>
          <w:sz w:val="22"/>
          <w:szCs w:val="22"/>
        </w:rPr>
        <w:t xml:space="preserve"> 2021; </w:t>
      </w:r>
      <w:proofErr w:type="spellStart"/>
      <w:r w:rsidR="005744F4" w:rsidRPr="005744F4">
        <w:rPr>
          <w:rFonts w:ascii="Aptos" w:hAnsi="Aptos"/>
          <w:color w:val="000000" w:themeColor="text1"/>
          <w:sz w:val="22"/>
          <w:szCs w:val="22"/>
          <w:lang w:val="en-US"/>
        </w:rPr>
        <w:t>Ior</w:t>
      </w:r>
      <w:r w:rsidR="005744F4">
        <w:rPr>
          <w:rFonts w:ascii="Aptos" w:hAnsi="Aptos"/>
          <w:color w:val="000000" w:themeColor="text1"/>
          <w:sz w:val="22"/>
          <w:szCs w:val="22"/>
          <w:lang w:val="en-US"/>
        </w:rPr>
        <w:t>dache</w:t>
      </w:r>
      <w:proofErr w:type="spellEnd"/>
      <w:r w:rsidR="005744F4">
        <w:rPr>
          <w:rFonts w:ascii="Aptos" w:hAnsi="Aptos"/>
          <w:color w:val="000000" w:themeColor="text1"/>
          <w:sz w:val="22"/>
          <w:szCs w:val="22"/>
          <w:lang w:val="en-US"/>
        </w:rPr>
        <w:t xml:space="preserve"> et al. 2023c</w:t>
      </w:r>
      <w:r w:rsidRPr="00642ECF">
        <w:rPr>
          <w:rFonts w:ascii="Aptos" w:hAnsi="Aptos"/>
          <w:color w:val="000000" w:themeColor="text1"/>
          <w:sz w:val="22"/>
          <w:szCs w:val="22"/>
        </w:rPr>
        <w:t>)</w:t>
      </w:r>
      <w:r w:rsidR="00FB0D9A">
        <w:rPr>
          <w:rFonts w:ascii="Aptos" w:hAnsi="Aptos"/>
          <w:color w:val="000000" w:themeColor="text1"/>
          <w:sz w:val="22"/>
          <w:szCs w:val="22"/>
          <w:lang w:val="en-US"/>
        </w:rPr>
        <w:t>, mainly through a focus on these players’ originals</w:t>
      </w:r>
      <w:r w:rsidRPr="00642ECF">
        <w:rPr>
          <w:rFonts w:ascii="Aptos" w:hAnsi="Aptos"/>
          <w:color w:val="000000" w:themeColor="text1"/>
          <w:sz w:val="22"/>
          <w:szCs w:val="22"/>
        </w:rPr>
        <w:t>.</w:t>
      </w:r>
      <w:r w:rsidR="00FB0D9A">
        <w:rPr>
          <w:rFonts w:ascii="Aptos" w:hAnsi="Aptos"/>
          <w:color w:val="000000" w:themeColor="text1"/>
          <w:sz w:val="22"/>
          <w:szCs w:val="22"/>
          <w:lang w:val="en-US"/>
        </w:rPr>
        <w:t xml:space="preserve"> </w:t>
      </w:r>
      <w:r w:rsidR="00065FFC">
        <w:rPr>
          <w:rFonts w:ascii="Aptos" w:hAnsi="Aptos"/>
          <w:color w:val="000000" w:themeColor="text1"/>
          <w:sz w:val="22"/>
          <w:szCs w:val="22"/>
          <w:lang w:val="en-US"/>
        </w:rPr>
        <w:t>Often,</w:t>
      </w:r>
      <w:r w:rsidR="00FB0D9A">
        <w:rPr>
          <w:rFonts w:ascii="Aptos" w:hAnsi="Aptos"/>
          <w:color w:val="000000" w:themeColor="text1"/>
          <w:sz w:val="22"/>
          <w:szCs w:val="22"/>
          <w:lang w:val="en-US"/>
        </w:rPr>
        <w:t xml:space="preserve"> these analyses set out from a comparative angle</w:t>
      </w:r>
      <w:r w:rsidR="00C9140C">
        <w:rPr>
          <w:rFonts w:ascii="Aptos" w:hAnsi="Aptos"/>
          <w:color w:val="000000" w:themeColor="text1"/>
          <w:sz w:val="22"/>
          <w:szCs w:val="22"/>
          <w:lang w:val="en-US"/>
        </w:rPr>
        <w:t xml:space="preserve">, either </w:t>
      </w:r>
      <w:r w:rsidR="00FB0D9A">
        <w:rPr>
          <w:rFonts w:ascii="Aptos" w:hAnsi="Aptos"/>
          <w:color w:val="000000" w:themeColor="text1"/>
          <w:sz w:val="22"/>
          <w:szCs w:val="22"/>
          <w:lang w:val="en-US"/>
        </w:rPr>
        <w:t xml:space="preserve">comparing </w:t>
      </w:r>
      <w:r w:rsidR="00C9140C">
        <w:rPr>
          <w:rFonts w:ascii="Aptos" w:hAnsi="Aptos"/>
          <w:color w:val="000000" w:themeColor="text1"/>
          <w:sz w:val="22"/>
          <w:szCs w:val="22"/>
          <w:lang w:val="en-US"/>
        </w:rPr>
        <w:t xml:space="preserve">titles from </w:t>
      </w:r>
      <w:r w:rsidR="00FB0D9A">
        <w:rPr>
          <w:rFonts w:ascii="Aptos" w:hAnsi="Aptos"/>
          <w:color w:val="000000" w:themeColor="text1"/>
          <w:sz w:val="22"/>
          <w:szCs w:val="22"/>
          <w:lang w:val="en-US"/>
        </w:rPr>
        <w:t xml:space="preserve">two or more countries of </w:t>
      </w:r>
      <w:r w:rsidR="00C9140C">
        <w:rPr>
          <w:rFonts w:ascii="Aptos" w:hAnsi="Aptos"/>
          <w:color w:val="000000" w:themeColor="text1"/>
          <w:sz w:val="22"/>
          <w:szCs w:val="22"/>
          <w:lang w:val="en-US"/>
        </w:rPr>
        <w:t>origin</w:t>
      </w:r>
      <w:r w:rsidR="00FB0D9A">
        <w:rPr>
          <w:rFonts w:ascii="Aptos" w:hAnsi="Aptos"/>
          <w:color w:val="000000" w:themeColor="text1"/>
          <w:sz w:val="22"/>
          <w:szCs w:val="22"/>
          <w:lang w:val="en-US"/>
        </w:rPr>
        <w:t xml:space="preserve">, comparing two or more streaming services, or comparing </w:t>
      </w:r>
      <w:r w:rsidR="00164D54">
        <w:rPr>
          <w:rFonts w:ascii="Aptos" w:hAnsi="Aptos"/>
          <w:color w:val="000000" w:themeColor="text1"/>
          <w:sz w:val="22"/>
          <w:szCs w:val="22"/>
          <w:lang w:val="en-US"/>
        </w:rPr>
        <w:t xml:space="preserve">offerings of the same player in two or more </w:t>
      </w:r>
      <w:r w:rsidR="00C9140C">
        <w:rPr>
          <w:rFonts w:ascii="Aptos" w:hAnsi="Aptos"/>
          <w:color w:val="000000" w:themeColor="text1"/>
          <w:sz w:val="22"/>
          <w:szCs w:val="22"/>
          <w:lang w:val="en-US"/>
        </w:rPr>
        <w:t>markets</w:t>
      </w:r>
      <w:r w:rsidR="00164D54">
        <w:rPr>
          <w:rFonts w:ascii="Aptos" w:hAnsi="Aptos"/>
          <w:color w:val="000000" w:themeColor="text1"/>
          <w:sz w:val="22"/>
          <w:szCs w:val="22"/>
          <w:lang w:val="en-US"/>
        </w:rPr>
        <w:t>.</w:t>
      </w:r>
      <w:r w:rsidR="00065FFC">
        <w:rPr>
          <w:rFonts w:ascii="Aptos" w:hAnsi="Aptos"/>
          <w:color w:val="000000" w:themeColor="text1"/>
          <w:sz w:val="22"/>
          <w:szCs w:val="22"/>
          <w:lang w:val="en-US"/>
        </w:rPr>
        <w:t xml:space="preserve"> </w:t>
      </w:r>
      <w:r w:rsidR="00164D54" w:rsidRPr="00164D54">
        <w:rPr>
          <w:rFonts w:ascii="Aptos" w:hAnsi="Aptos"/>
          <w:color w:val="000000" w:themeColor="text1"/>
          <w:sz w:val="22"/>
          <w:szCs w:val="22"/>
          <w:lang w:val="en-US"/>
        </w:rPr>
        <w:t>Th</w:t>
      </w:r>
      <w:r w:rsidR="00164D54">
        <w:rPr>
          <w:rFonts w:ascii="Aptos" w:hAnsi="Aptos"/>
          <w:color w:val="000000" w:themeColor="text1"/>
          <w:sz w:val="22"/>
          <w:szCs w:val="22"/>
          <w:lang w:val="en-US"/>
        </w:rPr>
        <w:t>rough these analyses</w:t>
      </w:r>
      <w:r w:rsidRPr="00642ECF">
        <w:rPr>
          <w:rFonts w:ascii="Aptos" w:hAnsi="Aptos"/>
          <w:color w:val="000000" w:themeColor="text1"/>
          <w:sz w:val="22"/>
          <w:szCs w:val="22"/>
        </w:rPr>
        <w:t>, researchers have elucidated how catalogues of global streaming services</w:t>
      </w:r>
      <w:r w:rsidR="00164D54" w:rsidRPr="00164D54">
        <w:rPr>
          <w:rFonts w:ascii="Aptos" w:hAnsi="Aptos"/>
          <w:color w:val="000000" w:themeColor="text1"/>
          <w:sz w:val="22"/>
          <w:szCs w:val="22"/>
          <w:lang w:val="en-US"/>
        </w:rPr>
        <w:t xml:space="preserve">, despite the </w:t>
      </w:r>
      <w:r w:rsidR="00164D54">
        <w:rPr>
          <w:rFonts w:ascii="Aptos" w:hAnsi="Aptos"/>
          <w:color w:val="000000" w:themeColor="text1"/>
          <w:sz w:val="22"/>
          <w:szCs w:val="22"/>
          <w:lang w:val="en-US"/>
        </w:rPr>
        <w:t>presence of a significant diversity of titles, seem to continue to</w:t>
      </w:r>
      <w:r w:rsidRPr="00642ECF">
        <w:rPr>
          <w:rFonts w:ascii="Aptos" w:hAnsi="Aptos"/>
          <w:color w:val="000000" w:themeColor="text1"/>
          <w:sz w:val="22"/>
          <w:szCs w:val="22"/>
        </w:rPr>
        <w:t xml:space="preserve"> reinforce existing</w:t>
      </w:r>
      <w:r w:rsidR="00C9140C" w:rsidRPr="00C9140C">
        <w:rPr>
          <w:rFonts w:ascii="Aptos" w:hAnsi="Aptos"/>
          <w:color w:val="000000" w:themeColor="text1"/>
          <w:sz w:val="22"/>
          <w:szCs w:val="22"/>
          <w:lang w:val="en-US"/>
        </w:rPr>
        <w:t xml:space="preserve"> balances and</w:t>
      </w:r>
      <w:r w:rsidRPr="00642ECF">
        <w:rPr>
          <w:rFonts w:ascii="Aptos" w:hAnsi="Aptos"/>
          <w:color w:val="000000" w:themeColor="text1"/>
          <w:sz w:val="22"/>
          <w:szCs w:val="22"/>
        </w:rPr>
        <w:t xml:space="preserve"> imbalances in content and language diversity, predominantly favoring US and Anglo-Saxon markets. This occurs despite the announced commitment of global streamers to invest in domestic content as part of their expansion strategies (García Leiva et al., 2024; Afilipoaie et al., 2021).</w:t>
      </w:r>
      <w:r w:rsidR="00164D54" w:rsidRPr="00164D54">
        <w:rPr>
          <w:rFonts w:ascii="Aptos" w:hAnsi="Aptos"/>
          <w:color w:val="000000" w:themeColor="text1"/>
          <w:sz w:val="22"/>
          <w:szCs w:val="22"/>
          <w:lang w:val="en-US"/>
        </w:rPr>
        <w:t xml:space="preserve"> </w:t>
      </w:r>
    </w:p>
    <w:p w14:paraId="198CF3E2" w14:textId="77777777" w:rsidR="00065FFC" w:rsidRDefault="00065FFC" w:rsidP="00642ECF">
      <w:pPr>
        <w:rPr>
          <w:rFonts w:ascii="Aptos" w:hAnsi="Aptos"/>
          <w:color w:val="000000" w:themeColor="text1"/>
          <w:sz w:val="22"/>
          <w:szCs w:val="22"/>
          <w:lang w:val="en-US"/>
        </w:rPr>
      </w:pPr>
    </w:p>
    <w:p w14:paraId="0D8707EE" w14:textId="4B017195" w:rsidR="00065FFC" w:rsidRDefault="00164D54" w:rsidP="00065FFC">
      <w:pPr>
        <w:rPr>
          <w:rFonts w:ascii="Aptos" w:hAnsi="Aptos"/>
          <w:color w:val="000000" w:themeColor="text1"/>
          <w:sz w:val="22"/>
          <w:szCs w:val="22"/>
          <w:lang w:val="en-US"/>
        </w:rPr>
      </w:pPr>
      <w:r>
        <w:rPr>
          <w:rFonts w:ascii="Aptos" w:hAnsi="Aptos"/>
          <w:color w:val="000000" w:themeColor="text1"/>
          <w:sz w:val="22"/>
          <w:szCs w:val="22"/>
          <w:lang w:val="en-US"/>
        </w:rPr>
        <w:t xml:space="preserve">However, analyses of catalogues themselves do not provide sufficient evidence to capture </w:t>
      </w:r>
      <w:r w:rsidR="00065FFC">
        <w:rPr>
          <w:rFonts w:ascii="Aptos" w:hAnsi="Aptos"/>
          <w:color w:val="000000" w:themeColor="text1"/>
          <w:sz w:val="22"/>
          <w:szCs w:val="22"/>
          <w:lang w:val="en-US"/>
        </w:rPr>
        <w:t xml:space="preserve">actual </w:t>
      </w:r>
      <w:r>
        <w:rPr>
          <w:rFonts w:ascii="Aptos" w:hAnsi="Aptos"/>
          <w:color w:val="000000" w:themeColor="text1"/>
          <w:sz w:val="22"/>
          <w:szCs w:val="22"/>
          <w:lang w:val="en-US"/>
        </w:rPr>
        <w:t>diversity of offerings, as they do not show how visible diversity of these particular titles is</w:t>
      </w:r>
      <w:r w:rsidR="00065FFC">
        <w:rPr>
          <w:rFonts w:ascii="Aptos" w:hAnsi="Aptos"/>
          <w:color w:val="000000" w:themeColor="text1"/>
          <w:sz w:val="22"/>
          <w:szCs w:val="22"/>
          <w:lang w:val="en-US"/>
        </w:rPr>
        <w:t xml:space="preserve"> (</w:t>
      </w:r>
      <w:proofErr w:type="gramStart"/>
      <w:r w:rsidR="00065FFC">
        <w:rPr>
          <w:rFonts w:ascii="Aptos" w:hAnsi="Aptos"/>
          <w:color w:val="000000" w:themeColor="text1"/>
          <w:sz w:val="22"/>
          <w:szCs w:val="22"/>
          <w:lang w:val="en-US"/>
        </w:rPr>
        <w:t>i.e.</w:t>
      </w:r>
      <w:proofErr w:type="gramEnd"/>
      <w:r w:rsidR="00065FFC">
        <w:rPr>
          <w:rFonts w:ascii="Aptos" w:hAnsi="Aptos"/>
          <w:color w:val="000000" w:themeColor="text1"/>
          <w:sz w:val="22"/>
          <w:szCs w:val="22"/>
          <w:lang w:val="en-US"/>
        </w:rPr>
        <w:t xml:space="preserve"> exposure diversity)</w:t>
      </w:r>
      <w:r>
        <w:rPr>
          <w:rFonts w:ascii="Aptos" w:hAnsi="Aptos"/>
          <w:color w:val="000000" w:themeColor="text1"/>
          <w:sz w:val="22"/>
          <w:szCs w:val="22"/>
          <w:lang w:val="en-US"/>
        </w:rPr>
        <w:t xml:space="preserve">, let alone capture the diversity of consumption. Explorative research </w:t>
      </w:r>
      <w:r w:rsidR="00E3090B">
        <w:rPr>
          <w:rFonts w:ascii="Aptos" w:hAnsi="Aptos"/>
          <w:color w:val="000000" w:themeColor="text1"/>
          <w:sz w:val="22"/>
          <w:szCs w:val="22"/>
          <w:lang w:val="en-US"/>
        </w:rPr>
        <w:t>shows</w:t>
      </w:r>
      <w:r w:rsidR="00065FFC">
        <w:rPr>
          <w:rFonts w:ascii="Aptos" w:hAnsi="Aptos"/>
          <w:color w:val="000000" w:themeColor="text1"/>
          <w:sz w:val="22"/>
          <w:szCs w:val="22"/>
          <w:lang w:val="en-US"/>
        </w:rPr>
        <w:t xml:space="preserve"> for example</w:t>
      </w:r>
      <w:r w:rsidR="00E3090B">
        <w:rPr>
          <w:rFonts w:ascii="Aptos" w:hAnsi="Aptos"/>
          <w:color w:val="000000" w:themeColor="text1"/>
          <w:sz w:val="22"/>
          <w:szCs w:val="22"/>
          <w:lang w:val="en-US"/>
        </w:rPr>
        <w:t xml:space="preserve"> how some global streamers license larger volumes of </w:t>
      </w:r>
      <w:proofErr w:type="gramStart"/>
      <w:r w:rsidR="00E3090B">
        <w:rPr>
          <w:rFonts w:ascii="Aptos" w:hAnsi="Aptos"/>
          <w:color w:val="000000" w:themeColor="text1"/>
          <w:sz w:val="22"/>
          <w:szCs w:val="22"/>
          <w:lang w:val="en-US"/>
        </w:rPr>
        <w:t>older short</w:t>
      </w:r>
      <w:proofErr w:type="gramEnd"/>
      <w:r w:rsidR="00E3090B">
        <w:rPr>
          <w:rFonts w:ascii="Aptos" w:hAnsi="Aptos"/>
          <w:color w:val="000000" w:themeColor="text1"/>
          <w:sz w:val="22"/>
          <w:szCs w:val="22"/>
          <w:lang w:val="en-US"/>
        </w:rPr>
        <w:t xml:space="preserve"> films which are only visible when actively searching for them through the search function (</w:t>
      </w:r>
      <w:proofErr w:type="spellStart"/>
      <w:r w:rsidR="00E3090B">
        <w:rPr>
          <w:rFonts w:ascii="Aptos" w:hAnsi="Aptos"/>
          <w:color w:val="000000" w:themeColor="text1"/>
          <w:sz w:val="22"/>
          <w:szCs w:val="22"/>
          <w:lang w:val="en-US"/>
        </w:rPr>
        <w:t>Iordache</w:t>
      </w:r>
      <w:proofErr w:type="spellEnd"/>
      <w:r w:rsidR="00E3090B">
        <w:rPr>
          <w:rFonts w:ascii="Aptos" w:hAnsi="Aptos"/>
          <w:color w:val="000000" w:themeColor="text1"/>
          <w:sz w:val="22"/>
          <w:szCs w:val="22"/>
          <w:lang w:val="en-US"/>
        </w:rPr>
        <w:t xml:space="preserve"> et al. 2024); a strategy most likely to be able to fit the 30% quota laid out in the Audiovisual Media Services Directive since 2018 (</w:t>
      </w:r>
      <w:proofErr w:type="spellStart"/>
      <w:r w:rsidR="00E3090B">
        <w:rPr>
          <w:rFonts w:ascii="Aptos" w:hAnsi="Aptos"/>
          <w:color w:val="000000" w:themeColor="text1"/>
          <w:sz w:val="22"/>
          <w:szCs w:val="22"/>
          <w:lang w:val="en-US"/>
        </w:rPr>
        <w:t>Ranaivoson</w:t>
      </w:r>
      <w:proofErr w:type="spellEnd"/>
      <w:r w:rsidR="00E3090B">
        <w:rPr>
          <w:rFonts w:ascii="Aptos" w:hAnsi="Aptos"/>
          <w:color w:val="000000" w:themeColor="text1"/>
          <w:sz w:val="22"/>
          <w:szCs w:val="22"/>
          <w:lang w:val="en-US"/>
        </w:rPr>
        <w:t xml:space="preserve"> et al. 2023). </w:t>
      </w:r>
      <w:r w:rsidR="00642ECF" w:rsidRPr="00642ECF">
        <w:rPr>
          <w:rFonts w:ascii="Aptos" w:hAnsi="Aptos"/>
          <w:color w:val="000000" w:themeColor="text1"/>
          <w:sz w:val="22"/>
          <w:szCs w:val="22"/>
        </w:rPr>
        <w:t xml:space="preserve">In recent years, scholarly attention has </w:t>
      </w:r>
      <w:r w:rsidR="00E3090B" w:rsidRPr="00E3090B">
        <w:rPr>
          <w:rFonts w:ascii="Aptos" w:hAnsi="Aptos"/>
          <w:color w:val="000000" w:themeColor="text1"/>
          <w:sz w:val="22"/>
          <w:szCs w:val="22"/>
          <w:lang w:val="en-US"/>
        </w:rPr>
        <w:t>there</w:t>
      </w:r>
      <w:r w:rsidR="00E3090B">
        <w:rPr>
          <w:rFonts w:ascii="Aptos" w:hAnsi="Aptos"/>
          <w:color w:val="000000" w:themeColor="text1"/>
          <w:sz w:val="22"/>
          <w:szCs w:val="22"/>
          <w:lang w:val="en-US"/>
        </w:rPr>
        <w:t xml:space="preserve">fore </w:t>
      </w:r>
      <w:r w:rsidR="00642ECF" w:rsidRPr="00642ECF">
        <w:rPr>
          <w:rFonts w:ascii="Aptos" w:hAnsi="Aptos"/>
          <w:color w:val="000000" w:themeColor="text1"/>
          <w:sz w:val="22"/>
          <w:szCs w:val="22"/>
        </w:rPr>
        <w:t xml:space="preserve">increasingly shifted towards the concepts of “discoverability” and “prominence”, which pertain to the likelihood of consumers encountering and viewing content and the visible placement of content. </w:t>
      </w:r>
      <w:r w:rsidR="00065FFC" w:rsidRPr="00065FFC">
        <w:rPr>
          <w:rFonts w:ascii="Aptos" w:hAnsi="Aptos"/>
          <w:color w:val="000000" w:themeColor="text1"/>
          <w:sz w:val="22"/>
          <w:szCs w:val="22"/>
          <w:lang w:val="en-US"/>
        </w:rPr>
        <w:t xml:space="preserve">In Europe, </w:t>
      </w:r>
      <w:r w:rsidR="00065FFC">
        <w:rPr>
          <w:rFonts w:ascii="Aptos" w:hAnsi="Aptos"/>
          <w:color w:val="000000" w:themeColor="text1"/>
          <w:sz w:val="22"/>
          <w:szCs w:val="22"/>
          <w:lang w:val="en-US"/>
        </w:rPr>
        <w:t>a</w:t>
      </w:r>
      <w:r w:rsidR="00E3090B" w:rsidRPr="00E3090B">
        <w:rPr>
          <w:rFonts w:ascii="Aptos" w:hAnsi="Aptos"/>
          <w:color w:val="000000" w:themeColor="text1"/>
          <w:sz w:val="22"/>
          <w:szCs w:val="22"/>
          <w:lang w:val="en-US"/>
        </w:rPr>
        <w:t>side from the 30% quota</w:t>
      </w:r>
      <w:r w:rsidR="00065FFC">
        <w:rPr>
          <w:rFonts w:ascii="Aptos" w:hAnsi="Aptos"/>
          <w:color w:val="000000" w:themeColor="text1"/>
          <w:sz w:val="22"/>
          <w:szCs w:val="22"/>
          <w:lang w:val="en-US"/>
        </w:rPr>
        <w:t xml:space="preserve"> for European works</w:t>
      </w:r>
      <w:r w:rsidR="00E3090B" w:rsidRPr="00E3090B">
        <w:rPr>
          <w:rFonts w:ascii="Aptos" w:hAnsi="Aptos"/>
          <w:color w:val="000000" w:themeColor="text1"/>
          <w:sz w:val="22"/>
          <w:szCs w:val="22"/>
          <w:lang w:val="en-US"/>
        </w:rPr>
        <w:t xml:space="preserve"> (and the </w:t>
      </w:r>
      <w:r w:rsidR="00E3090B">
        <w:rPr>
          <w:rFonts w:ascii="Aptos" w:hAnsi="Aptos"/>
          <w:color w:val="000000" w:themeColor="text1"/>
          <w:sz w:val="22"/>
          <w:szCs w:val="22"/>
          <w:lang w:val="en-US"/>
        </w:rPr>
        <w:t>possibility for Member States to introduce investment obligations in the form of levies or direct investments – or combinations thereof), t</w:t>
      </w:r>
      <w:r w:rsidR="00642ECF" w:rsidRPr="00642ECF">
        <w:rPr>
          <w:rFonts w:ascii="Aptos" w:hAnsi="Aptos"/>
          <w:color w:val="000000" w:themeColor="text1"/>
          <w:sz w:val="22"/>
          <w:szCs w:val="22"/>
        </w:rPr>
        <w:t xml:space="preserve">he Audiovisual Services Directive mandates </w:t>
      </w:r>
      <w:r w:rsidR="00E3090B" w:rsidRPr="00E3090B">
        <w:rPr>
          <w:rFonts w:ascii="Aptos" w:hAnsi="Aptos"/>
          <w:color w:val="000000" w:themeColor="text1"/>
          <w:sz w:val="22"/>
          <w:szCs w:val="22"/>
          <w:lang w:val="en-US"/>
        </w:rPr>
        <w:t xml:space="preserve">that </w:t>
      </w:r>
      <w:r w:rsidR="00065FFC">
        <w:rPr>
          <w:rFonts w:ascii="Aptos" w:hAnsi="Aptos"/>
          <w:color w:val="000000" w:themeColor="text1"/>
          <w:sz w:val="22"/>
          <w:szCs w:val="22"/>
          <w:lang w:val="en-US"/>
        </w:rPr>
        <w:t>those</w:t>
      </w:r>
      <w:r w:rsidR="00642ECF" w:rsidRPr="00642ECF">
        <w:rPr>
          <w:rFonts w:ascii="Aptos" w:hAnsi="Aptos"/>
          <w:color w:val="000000" w:themeColor="text1"/>
          <w:sz w:val="22"/>
          <w:szCs w:val="22"/>
        </w:rPr>
        <w:t xml:space="preserve"> European works </w:t>
      </w:r>
      <w:r w:rsidR="00065FFC" w:rsidRPr="00065FFC">
        <w:rPr>
          <w:rFonts w:ascii="Aptos" w:hAnsi="Aptos"/>
          <w:color w:val="000000" w:themeColor="text1"/>
          <w:sz w:val="22"/>
          <w:szCs w:val="22"/>
          <w:lang w:val="en-US"/>
        </w:rPr>
        <w:t>al</w:t>
      </w:r>
      <w:r w:rsidR="00065FFC">
        <w:rPr>
          <w:rFonts w:ascii="Aptos" w:hAnsi="Aptos"/>
          <w:color w:val="000000" w:themeColor="text1"/>
          <w:sz w:val="22"/>
          <w:szCs w:val="22"/>
          <w:lang w:val="en-US"/>
        </w:rPr>
        <w:t xml:space="preserve">so </w:t>
      </w:r>
      <w:r w:rsidR="00E3090B" w:rsidRPr="00E3090B">
        <w:rPr>
          <w:rFonts w:ascii="Aptos" w:hAnsi="Aptos"/>
          <w:color w:val="000000" w:themeColor="text1"/>
          <w:sz w:val="22"/>
          <w:szCs w:val="22"/>
          <w:lang w:val="en-US"/>
        </w:rPr>
        <w:t>need</w:t>
      </w:r>
      <w:r w:rsidR="00642ECF" w:rsidRPr="00642ECF">
        <w:rPr>
          <w:rFonts w:ascii="Aptos" w:hAnsi="Aptos"/>
          <w:color w:val="000000" w:themeColor="text1"/>
          <w:sz w:val="22"/>
          <w:szCs w:val="22"/>
        </w:rPr>
        <w:t xml:space="preserve"> </w:t>
      </w:r>
      <w:r w:rsidR="00E3090B" w:rsidRPr="00E3090B">
        <w:rPr>
          <w:rFonts w:ascii="Aptos" w:hAnsi="Aptos"/>
          <w:color w:val="000000" w:themeColor="text1"/>
          <w:sz w:val="22"/>
          <w:szCs w:val="22"/>
          <w:lang w:val="en-US"/>
        </w:rPr>
        <w:t>to be</w:t>
      </w:r>
      <w:r w:rsidR="00642ECF" w:rsidRPr="00642ECF">
        <w:rPr>
          <w:rFonts w:ascii="Aptos" w:hAnsi="Aptos"/>
          <w:color w:val="000000" w:themeColor="text1"/>
          <w:sz w:val="22"/>
          <w:szCs w:val="22"/>
        </w:rPr>
        <w:t xml:space="preserve"> </w:t>
      </w:r>
      <w:r w:rsidR="00E3090B" w:rsidRPr="00E3090B">
        <w:rPr>
          <w:rFonts w:ascii="Aptos" w:hAnsi="Aptos"/>
          <w:color w:val="000000" w:themeColor="text1"/>
          <w:sz w:val="22"/>
          <w:szCs w:val="22"/>
          <w:lang w:val="en-US"/>
        </w:rPr>
        <w:t>prominently visible (</w:t>
      </w:r>
      <w:r w:rsidR="00E3090B">
        <w:rPr>
          <w:rFonts w:ascii="Aptos" w:hAnsi="Aptos"/>
          <w:color w:val="000000" w:themeColor="text1"/>
          <w:sz w:val="22"/>
          <w:szCs w:val="22"/>
          <w:lang w:val="en-US"/>
        </w:rPr>
        <w:t xml:space="preserve">Garcia </w:t>
      </w:r>
      <w:proofErr w:type="spellStart"/>
      <w:r w:rsidR="00E3090B">
        <w:rPr>
          <w:rFonts w:ascii="Aptos" w:hAnsi="Aptos"/>
          <w:color w:val="000000" w:themeColor="text1"/>
          <w:sz w:val="22"/>
          <w:szCs w:val="22"/>
          <w:lang w:val="en-US"/>
        </w:rPr>
        <w:t>Leiva</w:t>
      </w:r>
      <w:proofErr w:type="spellEnd"/>
      <w:r w:rsidR="00E3090B">
        <w:rPr>
          <w:rFonts w:ascii="Aptos" w:hAnsi="Aptos"/>
          <w:color w:val="000000" w:themeColor="text1"/>
          <w:sz w:val="22"/>
          <w:szCs w:val="22"/>
          <w:lang w:val="en-US"/>
        </w:rPr>
        <w:t>, 2024</w:t>
      </w:r>
      <w:r w:rsidR="0077347E">
        <w:rPr>
          <w:rFonts w:ascii="Aptos" w:hAnsi="Aptos"/>
          <w:color w:val="000000" w:themeColor="text1"/>
          <w:sz w:val="22"/>
          <w:szCs w:val="22"/>
          <w:lang w:val="en-US"/>
        </w:rPr>
        <w:t xml:space="preserve">; </w:t>
      </w:r>
      <w:proofErr w:type="spellStart"/>
      <w:r w:rsidR="0077347E">
        <w:rPr>
          <w:rFonts w:ascii="Aptos" w:hAnsi="Aptos"/>
          <w:color w:val="000000" w:themeColor="text1"/>
          <w:sz w:val="22"/>
          <w:szCs w:val="22"/>
          <w:lang w:val="en-US"/>
        </w:rPr>
        <w:t>Farchy</w:t>
      </w:r>
      <w:proofErr w:type="spellEnd"/>
      <w:r w:rsidR="0077347E">
        <w:rPr>
          <w:rFonts w:ascii="Aptos" w:hAnsi="Aptos"/>
          <w:color w:val="000000" w:themeColor="text1"/>
          <w:sz w:val="22"/>
          <w:szCs w:val="22"/>
          <w:lang w:val="en-US"/>
        </w:rPr>
        <w:t xml:space="preserve"> et al. 2024</w:t>
      </w:r>
      <w:r w:rsidR="00E3090B">
        <w:rPr>
          <w:rFonts w:ascii="Aptos" w:hAnsi="Aptos"/>
          <w:color w:val="000000" w:themeColor="text1"/>
          <w:sz w:val="22"/>
          <w:szCs w:val="22"/>
          <w:lang w:val="en-US"/>
        </w:rPr>
        <w:t>)</w:t>
      </w:r>
      <w:r w:rsidR="00642ECF" w:rsidRPr="00642ECF">
        <w:rPr>
          <w:rFonts w:ascii="Aptos" w:hAnsi="Aptos"/>
          <w:color w:val="000000" w:themeColor="text1"/>
          <w:sz w:val="22"/>
          <w:szCs w:val="22"/>
        </w:rPr>
        <w:t xml:space="preserve">. Member States, in implementing this obligation, have outlined specific measures, such as promoting EU works in campaigns, including EU or national works in catalogues, and enabling users to search for EU works in various languages. </w:t>
      </w:r>
      <w:r w:rsidR="00DE16F2" w:rsidRPr="00DE16F2">
        <w:rPr>
          <w:rFonts w:ascii="Aptos" w:hAnsi="Aptos"/>
          <w:color w:val="000000" w:themeColor="text1"/>
          <w:sz w:val="22"/>
          <w:szCs w:val="22"/>
          <w:lang w:val="en-US"/>
        </w:rPr>
        <w:t xml:space="preserve">The ways in which these </w:t>
      </w:r>
      <w:r w:rsidR="00DE16F2">
        <w:rPr>
          <w:rFonts w:ascii="Aptos" w:hAnsi="Aptos"/>
          <w:color w:val="000000" w:themeColor="text1"/>
          <w:sz w:val="22"/>
          <w:szCs w:val="22"/>
          <w:lang w:val="en-US"/>
        </w:rPr>
        <w:t xml:space="preserve">specifications are formulated differ according to the specific context of European markets. </w:t>
      </w:r>
    </w:p>
    <w:p w14:paraId="116F4742" w14:textId="72F3A07C" w:rsidR="00202FF5" w:rsidRPr="00DE16F2" w:rsidRDefault="00202FF5" w:rsidP="00202FF5">
      <w:pPr>
        <w:spacing w:before="100" w:beforeAutospacing="1" w:after="100" w:afterAutospacing="1"/>
        <w:rPr>
          <w:rFonts w:ascii="Aptos" w:hAnsi="Aptos"/>
          <w:color w:val="000000" w:themeColor="text1"/>
          <w:sz w:val="22"/>
          <w:szCs w:val="22"/>
          <w:lang w:val="en-US"/>
        </w:rPr>
      </w:pPr>
      <w:r>
        <w:rPr>
          <w:rFonts w:ascii="Aptos" w:hAnsi="Aptos"/>
          <w:color w:val="000000" w:themeColor="text1"/>
          <w:sz w:val="22"/>
          <w:szCs w:val="22"/>
          <w:lang w:val="en-US"/>
        </w:rPr>
        <w:t>S</w:t>
      </w:r>
      <w:r w:rsidRPr="00642ECF">
        <w:rPr>
          <w:rFonts w:ascii="Aptos" w:hAnsi="Aptos"/>
          <w:color w:val="000000" w:themeColor="text1"/>
          <w:sz w:val="22"/>
          <w:szCs w:val="22"/>
        </w:rPr>
        <w:t>ystematic monitoring of the placement of works</w:t>
      </w:r>
      <w:r w:rsidRPr="00202FF5">
        <w:rPr>
          <w:rFonts w:ascii="Aptos" w:hAnsi="Aptos"/>
          <w:color w:val="000000" w:themeColor="text1"/>
          <w:sz w:val="22"/>
          <w:szCs w:val="22"/>
          <w:lang w:val="en-US"/>
        </w:rPr>
        <w:t xml:space="preserve"> and</w:t>
      </w:r>
      <w:r>
        <w:rPr>
          <w:rFonts w:ascii="Aptos" w:hAnsi="Aptos"/>
          <w:color w:val="000000" w:themeColor="text1"/>
          <w:sz w:val="22"/>
          <w:szCs w:val="22"/>
          <w:lang w:val="en-US"/>
        </w:rPr>
        <w:t xml:space="preserve"> titles</w:t>
      </w:r>
      <w:r w:rsidRPr="00642ECF">
        <w:rPr>
          <w:rFonts w:ascii="Aptos" w:hAnsi="Aptos"/>
          <w:color w:val="000000" w:themeColor="text1"/>
          <w:sz w:val="22"/>
          <w:szCs w:val="22"/>
        </w:rPr>
        <w:t xml:space="preserve"> across catalogs remains limited due to</w:t>
      </w:r>
      <w:r w:rsidRPr="00E3090B">
        <w:rPr>
          <w:rFonts w:ascii="Aptos" w:hAnsi="Aptos"/>
          <w:color w:val="000000" w:themeColor="text1"/>
          <w:sz w:val="22"/>
          <w:szCs w:val="22"/>
          <w:lang w:val="en-US"/>
        </w:rPr>
        <w:t xml:space="preserve"> several re</w:t>
      </w:r>
      <w:r>
        <w:rPr>
          <w:rFonts w:ascii="Aptos" w:hAnsi="Aptos"/>
          <w:color w:val="000000" w:themeColor="text1"/>
          <w:sz w:val="22"/>
          <w:szCs w:val="22"/>
          <w:lang w:val="en-US"/>
        </w:rPr>
        <w:t>asons: (</w:t>
      </w:r>
      <w:proofErr w:type="spellStart"/>
      <w:r>
        <w:rPr>
          <w:rFonts w:ascii="Aptos" w:hAnsi="Aptos"/>
          <w:color w:val="000000" w:themeColor="text1"/>
          <w:sz w:val="22"/>
          <w:szCs w:val="22"/>
          <w:lang w:val="en-US"/>
        </w:rPr>
        <w:t>i</w:t>
      </w:r>
      <w:proofErr w:type="spellEnd"/>
      <w:r>
        <w:rPr>
          <w:rFonts w:ascii="Aptos" w:hAnsi="Aptos"/>
          <w:color w:val="000000" w:themeColor="text1"/>
          <w:sz w:val="22"/>
          <w:szCs w:val="22"/>
          <w:lang w:val="en-US"/>
        </w:rPr>
        <w:t>) the</w:t>
      </w:r>
      <w:r w:rsidRPr="00642ECF">
        <w:rPr>
          <w:rFonts w:ascii="Aptos" w:hAnsi="Aptos"/>
          <w:color w:val="000000" w:themeColor="text1"/>
          <w:sz w:val="22"/>
          <w:szCs w:val="22"/>
        </w:rPr>
        <w:t xml:space="preserve"> substantial diversity </w:t>
      </w:r>
      <w:r w:rsidRPr="00642ECF">
        <w:rPr>
          <w:rFonts w:ascii="Aptos" w:hAnsi="Aptos"/>
          <w:color w:val="000000" w:themeColor="text1"/>
          <w:sz w:val="22"/>
          <w:szCs w:val="22"/>
          <w:lang w:val="en-US"/>
        </w:rPr>
        <w:t>of</w:t>
      </w:r>
      <w:r w:rsidRPr="00642ECF">
        <w:rPr>
          <w:rFonts w:ascii="Aptos" w:hAnsi="Aptos"/>
          <w:color w:val="000000" w:themeColor="text1"/>
          <w:sz w:val="22"/>
          <w:szCs w:val="22"/>
        </w:rPr>
        <w:t xml:space="preserve"> catalogues and streaming platforms</w:t>
      </w:r>
      <w:r w:rsidRPr="00642ECF">
        <w:rPr>
          <w:rFonts w:ascii="Aptos" w:hAnsi="Aptos"/>
          <w:color w:val="000000" w:themeColor="text1"/>
          <w:sz w:val="22"/>
          <w:szCs w:val="22"/>
          <w:lang w:val="en-US"/>
        </w:rPr>
        <w:t xml:space="preserve">; </w:t>
      </w:r>
      <w:r>
        <w:rPr>
          <w:rFonts w:ascii="Aptos" w:hAnsi="Aptos"/>
          <w:color w:val="000000" w:themeColor="text1"/>
          <w:sz w:val="22"/>
          <w:szCs w:val="22"/>
          <w:lang w:val="en-US"/>
        </w:rPr>
        <w:t xml:space="preserve">(ii) </w:t>
      </w:r>
      <w:r w:rsidRPr="00642ECF">
        <w:rPr>
          <w:rFonts w:ascii="Aptos" w:hAnsi="Aptos"/>
          <w:color w:val="000000" w:themeColor="text1"/>
          <w:sz w:val="22"/>
          <w:szCs w:val="22"/>
          <w:lang w:val="en-US"/>
        </w:rPr>
        <w:t>the multiple ways in which prominence can be measured; the subjective nature of what is considered to more prominent than others from a user viewpoint; the pace in which catalogues are constantly adapted and renewed</w:t>
      </w:r>
      <w:r>
        <w:rPr>
          <w:rFonts w:ascii="Aptos" w:hAnsi="Aptos"/>
          <w:color w:val="000000" w:themeColor="text1"/>
          <w:sz w:val="22"/>
          <w:szCs w:val="22"/>
          <w:lang w:val="en-US"/>
        </w:rPr>
        <w:t xml:space="preserve"> and </w:t>
      </w:r>
      <w:r w:rsidRPr="00642ECF">
        <w:rPr>
          <w:rFonts w:ascii="Aptos" w:hAnsi="Aptos"/>
          <w:color w:val="000000" w:themeColor="text1"/>
          <w:sz w:val="22"/>
          <w:szCs w:val="22"/>
          <w:lang w:val="en-US"/>
        </w:rPr>
        <w:t>the fact that</w:t>
      </w:r>
      <w:r w:rsidRPr="00642ECF">
        <w:rPr>
          <w:rFonts w:ascii="Aptos" w:hAnsi="Aptos"/>
          <w:color w:val="000000" w:themeColor="text1"/>
          <w:sz w:val="22"/>
          <w:szCs w:val="22"/>
        </w:rPr>
        <w:t xml:space="preserve"> recommender systems offer personalization of interfaces, </w:t>
      </w:r>
      <w:r w:rsidRPr="00642ECF">
        <w:rPr>
          <w:rFonts w:ascii="Aptos" w:hAnsi="Aptos"/>
          <w:color w:val="000000" w:themeColor="text1"/>
          <w:sz w:val="22"/>
          <w:szCs w:val="22"/>
          <w:lang w:val="en-US"/>
        </w:rPr>
        <w:t xml:space="preserve">which could make catalogues significantly different for different </w:t>
      </w:r>
      <w:r w:rsidRPr="00642ECF">
        <w:rPr>
          <w:rFonts w:ascii="Aptos" w:hAnsi="Aptos"/>
          <w:color w:val="000000" w:themeColor="text1"/>
          <w:sz w:val="22"/>
          <w:szCs w:val="22"/>
          <w:lang w:val="en-US"/>
        </w:rPr>
        <w:lastRenderedPageBreak/>
        <w:t>users</w:t>
      </w:r>
      <w:r w:rsidRPr="00642ECF">
        <w:rPr>
          <w:rFonts w:ascii="Aptos" w:hAnsi="Aptos"/>
          <w:color w:val="000000" w:themeColor="text1"/>
          <w:sz w:val="22"/>
          <w:szCs w:val="22"/>
        </w:rPr>
        <w:t>.</w:t>
      </w:r>
      <w:r w:rsidRPr="006C0A0B">
        <w:rPr>
          <w:rFonts w:ascii="Aptos" w:hAnsi="Aptos"/>
          <w:color w:val="000000" w:themeColor="text1"/>
          <w:sz w:val="22"/>
          <w:szCs w:val="22"/>
          <w:lang w:val="en-US"/>
        </w:rPr>
        <w:t xml:space="preserve"> </w:t>
      </w:r>
      <w:r>
        <w:rPr>
          <w:rFonts w:ascii="Aptos" w:hAnsi="Aptos"/>
          <w:color w:val="000000" w:themeColor="text1"/>
          <w:sz w:val="22"/>
          <w:szCs w:val="22"/>
          <w:lang w:val="en-US"/>
        </w:rPr>
        <w:t>Nonetheless, analyzing the how prominence is shaping content diversity in streaming offerings is highly crucial, and becoming even more crucial in a streaming landscape in which global and local streaming services compete</w:t>
      </w:r>
      <w:r>
        <w:rPr>
          <w:rFonts w:ascii="Aptos" w:hAnsi="Aptos"/>
          <w:color w:val="000000" w:themeColor="text1"/>
          <w:sz w:val="22"/>
          <w:szCs w:val="22"/>
          <w:lang w:val="en-US"/>
        </w:rPr>
        <w:t xml:space="preserve"> alongside each other</w:t>
      </w:r>
      <w:r>
        <w:rPr>
          <w:rFonts w:ascii="Aptos" w:hAnsi="Aptos"/>
          <w:color w:val="000000" w:themeColor="text1"/>
          <w:sz w:val="22"/>
          <w:szCs w:val="22"/>
          <w:lang w:val="en-US"/>
        </w:rPr>
        <w:t xml:space="preserve"> for subscriber attention and retention, and where catalogue size is – </w:t>
      </w:r>
      <w:proofErr w:type="gramStart"/>
      <w:r>
        <w:rPr>
          <w:rFonts w:ascii="Aptos" w:hAnsi="Aptos"/>
          <w:color w:val="000000" w:themeColor="text1"/>
          <w:sz w:val="22"/>
          <w:szCs w:val="22"/>
          <w:lang w:val="en-US"/>
        </w:rPr>
        <w:t>as a consequence of</w:t>
      </w:r>
      <w:proofErr w:type="gramEnd"/>
      <w:r>
        <w:rPr>
          <w:rFonts w:ascii="Aptos" w:hAnsi="Aptos"/>
          <w:color w:val="000000" w:themeColor="text1"/>
          <w:sz w:val="22"/>
          <w:szCs w:val="22"/>
          <w:lang w:val="en-US"/>
        </w:rPr>
        <w:t xml:space="preserve"> the audience consumption of several offerings in parallel – less determining a streamers’ success. </w:t>
      </w:r>
    </w:p>
    <w:p w14:paraId="1334AC85" w14:textId="70011D5A" w:rsidR="00642ECF" w:rsidRPr="006C0A0B" w:rsidRDefault="002E792E" w:rsidP="00642ECF">
      <w:pPr>
        <w:pStyle w:val="NormalWeb"/>
        <w:rPr>
          <w:rFonts w:ascii="Aptos" w:hAnsi="Aptos"/>
          <w:b/>
          <w:bCs/>
          <w:color w:val="114C6D"/>
          <w:lang w:val="en-US"/>
        </w:rPr>
      </w:pPr>
      <w:r>
        <w:rPr>
          <w:rFonts w:ascii="Aptos" w:hAnsi="Aptos"/>
          <w:b/>
          <w:bCs/>
          <w:color w:val="114C6D"/>
          <w:lang w:val="en-US"/>
        </w:rPr>
        <w:t>Objectives and m</w:t>
      </w:r>
      <w:r w:rsidR="00642ECF" w:rsidRPr="006C0A0B">
        <w:rPr>
          <w:rFonts w:ascii="Aptos" w:hAnsi="Aptos"/>
          <w:b/>
          <w:bCs/>
          <w:color w:val="114C6D"/>
          <w:lang w:val="en-US"/>
        </w:rPr>
        <w:t>ethod</w:t>
      </w:r>
    </w:p>
    <w:p w14:paraId="71513737" w14:textId="0699C123" w:rsidR="00E40121" w:rsidRPr="006F5163" w:rsidRDefault="006C0A0B" w:rsidP="006C0A0B">
      <w:pPr>
        <w:spacing w:before="100" w:beforeAutospacing="1" w:after="100" w:afterAutospacing="1"/>
        <w:rPr>
          <w:rFonts w:ascii="Aptos" w:hAnsi="Aptos"/>
          <w:color w:val="000000" w:themeColor="text1"/>
          <w:sz w:val="22"/>
          <w:szCs w:val="22"/>
          <w:lang w:val="en-US"/>
        </w:rPr>
      </w:pPr>
      <w:r w:rsidRPr="00642ECF">
        <w:rPr>
          <w:rFonts w:ascii="Aptos" w:hAnsi="Aptos"/>
          <w:color w:val="000000" w:themeColor="text1"/>
          <w:sz w:val="22"/>
          <w:szCs w:val="22"/>
        </w:rPr>
        <w:t>This paper</w:t>
      </w:r>
      <w:r w:rsidRPr="00642ECF">
        <w:rPr>
          <w:rFonts w:ascii="Aptos" w:hAnsi="Aptos"/>
          <w:color w:val="000000" w:themeColor="text1"/>
          <w:sz w:val="22"/>
          <w:szCs w:val="22"/>
          <w:lang w:val="en-US"/>
        </w:rPr>
        <w:t xml:space="preserve"> </w:t>
      </w:r>
      <w:r w:rsidR="00E40121">
        <w:rPr>
          <w:rFonts w:ascii="Aptos" w:hAnsi="Aptos"/>
          <w:color w:val="000000" w:themeColor="text1"/>
          <w:sz w:val="22"/>
          <w:szCs w:val="22"/>
          <w:lang w:val="en-US"/>
        </w:rPr>
        <w:t>contributes to</w:t>
      </w:r>
      <w:r w:rsidRPr="00642ECF">
        <w:rPr>
          <w:rFonts w:ascii="Aptos" w:hAnsi="Aptos"/>
          <w:color w:val="000000" w:themeColor="text1"/>
          <w:sz w:val="22"/>
          <w:szCs w:val="22"/>
          <w:lang w:val="en-US"/>
        </w:rPr>
        <w:t xml:space="preserve"> </w:t>
      </w:r>
      <w:r w:rsidR="00E40121">
        <w:rPr>
          <w:rFonts w:ascii="Aptos" w:hAnsi="Aptos"/>
          <w:color w:val="000000" w:themeColor="text1"/>
          <w:sz w:val="22"/>
          <w:szCs w:val="22"/>
          <w:lang w:val="en-US"/>
        </w:rPr>
        <w:t>the study of measuring prominence and discoverability of streaming offerings. It aims to contribute to a more</w:t>
      </w:r>
      <w:r w:rsidRPr="00642ECF">
        <w:rPr>
          <w:rFonts w:ascii="Aptos" w:hAnsi="Aptos"/>
          <w:color w:val="000000" w:themeColor="text1"/>
          <w:sz w:val="22"/>
          <w:szCs w:val="22"/>
          <w:lang w:val="en-US"/>
        </w:rPr>
        <w:t xml:space="preserve"> systematic analysi</w:t>
      </w:r>
      <w:r w:rsidR="00E40121">
        <w:rPr>
          <w:rFonts w:ascii="Aptos" w:hAnsi="Aptos"/>
          <w:color w:val="000000" w:themeColor="text1"/>
          <w:sz w:val="22"/>
          <w:szCs w:val="22"/>
          <w:lang w:val="en-US"/>
        </w:rPr>
        <w:t xml:space="preserve">s </w:t>
      </w:r>
      <w:r w:rsidR="00A7657D">
        <w:rPr>
          <w:rFonts w:ascii="Aptos" w:hAnsi="Aptos"/>
          <w:color w:val="000000" w:themeColor="text1"/>
          <w:sz w:val="22"/>
          <w:szCs w:val="22"/>
          <w:lang w:val="en-US"/>
        </w:rPr>
        <w:t xml:space="preserve">of prominence measurement </w:t>
      </w:r>
      <w:r w:rsidR="00E40121">
        <w:rPr>
          <w:rFonts w:ascii="Aptos" w:hAnsi="Aptos"/>
          <w:color w:val="000000" w:themeColor="text1"/>
          <w:sz w:val="22"/>
          <w:szCs w:val="22"/>
          <w:lang w:val="en-US"/>
        </w:rPr>
        <w:t xml:space="preserve">by mapping and comparing existing </w:t>
      </w:r>
      <w:r w:rsidR="00A7657D">
        <w:rPr>
          <w:rFonts w:ascii="Aptos" w:hAnsi="Aptos"/>
          <w:color w:val="000000" w:themeColor="text1"/>
          <w:sz w:val="22"/>
          <w:szCs w:val="22"/>
          <w:lang w:val="en-US"/>
        </w:rPr>
        <w:t>analyses</w:t>
      </w:r>
      <w:r w:rsidR="00E40121">
        <w:rPr>
          <w:rFonts w:ascii="Aptos" w:hAnsi="Aptos"/>
          <w:color w:val="000000" w:themeColor="text1"/>
          <w:sz w:val="22"/>
          <w:szCs w:val="22"/>
          <w:lang w:val="en-US"/>
        </w:rPr>
        <w:t xml:space="preserve"> of prominence and the </w:t>
      </w:r>
      <w:r w:rsidR="00A7657D">
        <w:rPr>
          <w:rFonts w:ascii="Aptos" w:hAnsi="Aptos"/>
          <w:color w:val="000000" w:themeColor="text1"/>
          <w:sz w:val="22"/>
          <w:szCs w:val="22"/>
          <w:lang w:val="en-US"/>
        </w:rPr>
        <w:t xml:space="preserve">different </w:t>
      </w:r>
      <w:r w:rsidR="00E40121">
        <w:rPr>
          <w:rFonts w:ascii="Aptos" w:hAnsi="Aptos"/>
          <w:color w:val="000000" w:themeColor="text1"/>
          <w:sz w:val="22"/>
          <w:szCs w:val="22"/>
          <w:lang w:val="en-US"/>
        </w:rPr>
        <w:t xml:space="preserve">considerations made. </w:t>
      </w:r>
      <w:r w:rsidR="00B85439">
        <w:rPr>
          <w:rFonts w:ascii="Aptos" w:hAnsi="Aptos"/>
          <w:color w:val="000000" w:themeColor="text1"/>
          <w:sz w:val="22"/>
          <w:szCs w:val="22"/>
          <w:lang w:val="en-US"/>
        </w:rPr>
        <w:t xml:space="preserve">Based on </w:t>
      </w:r>
      <w:r w:rsidR="00A7657D">
        <w:rPr>
          <w:rFonts w:ascii="Aptos" w:hAnsi="Aptos"/>
          <w:color w:val="000000" w:themeColor="text1"/>
          <w:sz w:val="22"/>
          <w:szCs w:val="22"/>
          <w:lang w:val="en-US"/>
        </w:rPr>
        <w:t>extensive</w:t>
      </w:r>
      <w:r w:rsidR="00B85439">
        <w:rPr>
          <w:rFonts w:ascii="Aptos" w:hAnsi="Aptos"/>
          <w:color w:val="000000" w:themeColor="text1"/>
          <w:sz w:val="22"/>
          <w:szCs w:val="22"/>
          <w:lang w:val="en-US"/>
        </w:rPr>
        <w:t xml:space="preserve"> review</w:t>
      </w:r>
      <w:r w:rsidR="00A7657D">
        <w:rPr>
          <w:rFonts w:ascii="Aptos" w:hAnsi="Aptos"/>
          <w:color w:val="000000" w:themeColor="text1"/>
          <w:sz w:val="22"/>
          <w:szCs w:val="22"/>
          <w:lang w:val="en-US"/>
        </w:rPr>
        <w:t xml:space="preserve"> of different ways of interface </w:t>
      </w:r>
      <w:proofErr w:type="gramStart"/>
      <w:r w:rsidR="00A7657D">
        <w:rPr>
          <w:rFonts w:ascii="Aptos" w:hAnsi="Aptos"/>
          <w:color w:val="000000" w:themeColor="text1"/>
          <w:sz w:val="22"/>
          <w:szCs w:val="22"/>
          <w:lang w:val="en-US"/>
        </w:rPr>
        <w:t xml:space="preserve">analysis, </w:t>
      </w:r>
      <w:r w:rsidR="00B85439">
        <w:rPr>
          <w:rFonts w:ascii="Aptos" w:hAnsi="Aptos"/>
          <w:color w:val="000000" w:themeColor="text1"/>
          <w:sz w:val="22"/>
          <w:szCs w:val="22"/>
          <w:lang w:val="en-US"/>
        </w:rPr>
        <w:t xml:space="preserve"> as</w:t>
      </w:r>
      <w:proofErr w:type="gramEnd"/>
      <w:r w:rsidR="00B85439">
        <w:rPr>
          <w:rFonts w:ascii="Aptos" w:hAnsi="Aptos"/>
          <w:color w:val="000000" w:themeColor="text1"/>
          <w:sz w:val="22"/>
          <w:szCs w:val="22"/>
          <w:lang w:val="en-US"/>
        </w:rPr>
        <w:t xml:space="preserve"> well as the development of own explorative research, we outline the </w:t>
      </w:r>
      <w:r w:rsidR="00E40121">
        <w:rPr>
          <w:rFonts w:ascii="Aptos" w:hAnsi="Aptos"/>
          <w:color w:val="000000" w:themeColor="text1"/>
          <w:sz w:val="22"/>
          <w:szCs w:val="22"/>
          <w:lang w:val="en-US"/>
        </w:rPr>
        <w:t xml:space="preserve">methodological considerations </w:t>
      </w:r>
      <w:r w:rsidR="00A7657D">
        <w:rPr>
          <w:rFonts w:ascii="Aptos" w:hAnsi="Aptos"/>
          <w:color w:val="000000" w:themeColor="text1"/>
          <w:sz w:val="22"/>
          <w:szCs w:val="22"/>
          <w:lang w:val="en-US"/>
        </w:rPr>
        <w:t>researchers</w:t>
      </w:r>
      <w:r w:rsidR="00E40121">
        <w:rPr>
          <w:rFonts w:ascii="Aptos" w:hAnsi="Aptos"/>
          <w:color w:val="000000" w:themeColor="text1"/>
          <w:sz w:val="22"/>
          <w:szCs w:val="22"/>
          <w:lang w:val="en-US"/>
        </w:rPr>
        <w:t xml:space="preserve"> </w:t>
      </w:r>
      <w:r w:rsidR="00B85439">
        <w:rPr>
          <w:rFonts w:ascii="Aptos" w:hAnsi="Aptos"/>
          <w:color w:val="000000" w:themeColor="text1"/>
          <w:sz w:val="22"/>
          <w:szCs w:val="22"/>
          <w:lang w:val="en-US"/>
        </w:rPr>
        <w:t xml:space="preserve">need to make when developing a </w:t>
      </w:r>
      <w:r w:rsidR="00A7657D">
        <w:rPr>
          <w:rFonts w:ascii="Aptos" w:hAnsi="Aptos"/>
          <w:color w:val="000000" w:themeColor="text1"/>
          <w:sz w:val="22"/>
          <w:szCs w:val="22"/>
          <w:lang w:val="en-US"/>
        </w:rPr>
        <w:t>sound</w:t>
      </w:r>
      <w:r w:rsidR="00B85439">
        <w:rPr>
          <w:rFonts w:ascii="Aptos" w:hAnsi="Aptos"/>
          <w:color w:val="000000" w:themeColor="text1"/>
          <w:sz w:val="22"/>
          <w:szCs w:val="22"/>
          <w:lang w:val="en-US"/>
        </w:rPr>
        <w:t xml:space="preserve"> methodology for capturing prominence and discoverability. The </w:t>
      </w:r>
      <w:r w:rsidR="00A7657D">
        <w:rPr>
          <w:rFonts w:ascii="Aptos" w:hAnsi="Aptos"/>
          <w:color w:val="000000" w:themeColor="text1"/>
          <w:sz w:val="22"/>
          <w:szCs w:val="22"/>
          <w:lang w:val="en-US"/>
        </w:rPr>
        <w:t>paper</w:t>
      </w:r>
      <w:r w:rsidR="00B85439">
        <w:rPr>
          <w:rFonts w:ascii="Aptos" w:hAnsi="Aptos"/>
          <w:color w:val="000000" w:themeColor="text1"/>
          <w:sz w:val="22"/>
          <w:szCs w:val="22"/>
          <w:lang w:val="en-US"/>
        </w:rPr>
        <w:t xml:space="preserve"> brings these different considerations together and aims to provide a toolbox that can be further used and developed for further analyses on streaming</w:t>
      </w:r>
      <w:r w:rsidR="00A7657D">
        <w:rPr>
          <w:rFonts w:ascii="Aptos" w:hAnsi="Aptos"/>
          <w:color w:val="000000" w:themeColor="text1"/>
          <w:sz w:val="22"/>
          <w:szCs w:val="22"/>
          <w:lang w:val="en-US"/>
        </w:rPr>
        <w:t xml:space="preserve"> and could potentially serve as the basis for policymakers and regulators to measure performance of obligations laid out for streaming services</w:t>
      </w:r>
      <w:r w:rsidR="00B85439">
        <w:rPr>
          <w:rFonts w:ascii="Aptos" w:hAnsi="Aptos"/>
          <w:color w:val="000000" w:themeColor="text1"/>
          <w:sz w:val="22"/>
          <w:szCs w:val="22"/>
          <w:lang w:val="en-US"/>
        </w:rPr>
        <w:t>.</w:t>
      </w:r>
      <w:r w:rsidR="002E792E">
        <w:rPr>
          <w:rFonts w:ascii="Aptos" w:hAnsi="Aptos"/>
          <w:color w:val="000000" w:themeColor="text1"/>
          <w:sz w:val="22"/>
          <w:szCs w:val="22"/>
          <w:lang w:val="en-US"/>
        </w:rPr>
        <w:t xml:space="preserve"> </w:t>
      </w:r>
      <w:r w:rsidR="00A7657D">
        <w:rPr>
          <w:rFonts w:ascii="Aptos" w:hAnsi="Aptos"/>
          <w:color w:val="000000" w:themeColor="text1"/>
          <w:sz w:val="22"/>
          <w:szCs w:val="22"/>
          <w:lang w:val="en-US"/>
        </w:rPr>
        <w:t>Our contribution</w:t>
      </w:r>
      <w:r w:rsidR="006F5163" w:rsidRPr="006F5163">
        <w:rPr>
          <w:rFonts w:ascii="Aptos" w:hAnsi="Aptos"/>
          <w:color w:val="000000" w:themeColor="text1"/>
          <w:sz w:val="22"/>
          <w:szCs w:val="22"/>
          <w:lang w:val="en-US"/>
        </w:rPr>
        <w:t xml:space="preserve"> </w:t>
      </w:r>
      <w:r w:rsidR="00A7657D">
        <w:rPr>
          <w:rFonts w:ascii="Aptos" w:hAnsi="Aptos"/>
          <w:color w:val="000000" w:themeColor="text1"/>
          <w:sz w:val="22"/>
          <w:szCs w:val="22"/>
          <w:lang w:val="en-US"/>
        </w:rPr>
        <w:t xml:space="preserve">thereby also </w:t>
      </w:r>
      <w:r w:rsidR="006F5163" w:rsidRPr="006F5163">
        <w:rPr>
          <w:rFonts w:ascii="Aptos" w:hAnsi="Aptos"/>
          <w:color w:val="000000" w:themeColor="text1"/>
          <w:sz w:val="22"/>
          <w:szCs w:val="22"/>
          <w:lang w:val="en-US"/>
        </w:rPr>
        <w:t xml:space="preserve">builds further on the </w:t>
      </w:r>
      <w:r w:rsidR="006F5163">
        <w:rPr>
          <w:rFonts w:ascii="Aptos" w:hAnsi="Aptos"/>
          <w:color w:val="000000" w:themeColor="text1"/>
          <w:sz w:val="22"/>
          <w:szCs w:val="22"/>
          <w:lang w:val="en-US"/>
        </w:rPr>
        <w:t xml:space="preserve">2024 </w:t>
      </w:r>
      <w:r w:rsidR="00A7657D">
        <w:rPr>
          <w:rFonts w:ascii="Aptos" w:hAnsi="Aptos"/>
          <w:color w:val="000000" w:themeColor="text1"/>
          <w:sz w:val="22"/>
          <w:szCs w:val="22"/>
          <w:lang w:val="en-US"/>
        </w:rPr>
        <w:t>overview</w:t>
      </w:r>
      <w:r w:rsidR="006F5163">
        <w:rPr>
          <w:rFonts w:ascii="Aptos" w:hAnsi="Aptos"/>
          <w:color w:val="000000" w:themeColor="text1"/>
          <w:sz w:val="22"/>
          <w:szCs w:val="22"/>
          <w:lang w:val="en-US"/>
        </w:rPr>
        <w:t xml:space="preserve"> </w:t>
      </w:r>
      <w:r w:rsidR="001215AB">
        <w:rPr>
          <w:rFonts w:ascii="Aptos" w:hAnsi="Aptos"/>
          <w:color w:val="000000" w:themeColor="text1"/>
          <w:sz w:val="22"/>
          <w:szCs w:val="22"/>
          <w:lang w:val="en-US"/>
        </w:rPr>
        <w:t xml:space="preserve">and </w:t>
      </w:r>
      <w:r w:rsidR="00A7657D">
        <w:rPr>
          <w:rFonts w:ascii="Aptos" w:hAnsi="Aptos"/>
          <w:color w:val="000000" w:themeColor="text1"/>
          <w:sz w:val="22"/>
          <w:szCs w:val="22"/>
          <w:lang w:val="en-US"/>
        </w:rPr>
        <w:t>categorization</w:t>
      </w:r>
      <w:r w:rsidR="001215AB">
        <w:rPr>
          <w:rFonts w:ascii="Aptos" w:hAnsi="Aptos"/>
          <w:color w:val="000000" w:themeColor="text1"/>
          <w:sz w:val="22"/>
          <w:szCs w:val="22"/>
          <w:lang w:val="en-US"/>
        </w:rPr>
        <w:t xml:space="preserve"> </w:t>
      </w:r>
      <w:r w:rsidR="006F5163">
        <w:rPr>
          <w:rFonts w:ascii="Aptos" w:hAnsi="Aptos"/>
          <w:color w:val="000000" w:themeColor="text1"/>
          <w:sz w:val="22"/>
          <w:szCs w:val="22"/>
          <w:lang w:val="en-US"/>
        </w:rPr>
        <w:t xml:space="preserve">of </w:t>
      </w:r>
      <w:r w:rsidR="001215AB">
        <w:rPr>
          <w:rFonts w:ascii="Aptos" w:hAnsi="Aptos"/>
          <w:color w:val="000000" w:themeColor="text1"/>
          <w:sz w:val="22"/>
          <w:szCs w:val="22"/>
          <w:lang w:val="en-US"/>
        </w:rPr>
        <w:t xml:space="preserve">streaming diversity </w:t>
      </w:r>
      <w:r w:rsidR="00A7657D">
        <w:rPr>
          <w:rFonts w:ascii="Aptos" w:hAnsi="Aptos"/>
          <w:color w:val="000000" w:themeColor="text1"/>
          <w:sz w:val="22"/>
          <w:szCs w:val="22"/>
          <w:lang w:val="en-US"/>
        </w:rPr>
        <w:t>studies</w:t>
      </w:r>
      <w:r w:rsidR="006F5163" w:rsidRPr="006F5163">
        <w:rPr>
          <w:rFonts w:ascii="Aptos" w:hAnsi="Aptos"/>
          <w:color w:val="000000" w:themeColor="text1"/>
          <w:sz w:val="22"/>
          <w:szCs w:val="22"/>
          <w:lang w:val="en-US"/>
        </w:rPr>
        <w:t xml:space="preserve"> </w:t>
      </w:r>
      <w:r w:rsidR="001215AB">
        <w:rPr>
          <w:rFonts w:ascii="Aptos" w:hAnsi="Aptos"/>
          <w:color w:val="000000" w:themeColor="text1"/>
          <w:sz w:val="22"/>
          <w:szCs w:val="22"/>
          <w:lang w:val="en-US"/>
        </w:rPr>
        <w:t>by</w:t>
      </w:r>
      <w:r w:rsidR="006F5163" w:rsidRPr="006F5163">
        <w:rPr>
          <w:rFonts w:ascii="Aptos" w:hAnsi="Aptos"/>
          <w:color w:val="000000" w:themeColor="text1"/>
          <w:sz w:val="22"/>
          <w:szCs w:val="22"/>
          <w:lang w:val="en-US"/>
        </w:rPr>
        <w:t xml:space="preserve"> Lobato, </w:t>
      </w:r>
      <w:proofErr w:type="spellStart"/>
      <w:r w:rsidR="006F5163" w:rsidRPr="006F5163">
        <w:rPr>
          <w:rFonts w:ascii="Aptos" w:hAnsi="Aptos"/>
          <w:color w:val="000000" w:themeColor="text1"/>
          <w:sz w:val="22"/>
          <w:szCs w:val="22"/>
          <w:lang w:val="en-US"/>
        </w:rPr>
        <w:t>Scarlata</w:t>
      </w:r>
      <w:proofErr w:type="spellEnd"/>
      <w:r w:rsidR="006F5163" w:rsidRPr="006F5163">
        <w:rPr>
          <w:rFonts w:ascii="Aptos" w:hAnsi="Aptos"/>
          <w:color w:val="000000" w:themeColor="text1"/>
          <w:sz w:val="22"/>
          <w:szCs w:val="22"/>
          <w:lang w:val="en-US"/>
        </w:rPr>
        <w:t xml:space="preserve"> and </w:t>
      </w:r>
      <w:proofErr w:type="spellStart"/>
      <w:r w:rsidR="00A7657D">
        <w:rPr>
          <w:rFonts w:ascii="Aptos" w:hAnsi="Aptos"/>
          <w:color w:val="000000" w:themeColor="text1"/>
          <w:sz w:val="22"/>
          <w:szCs w:val="22"/>
          <w:lang w:val="en-US"/>
        </w:rPr>
        <w:t>Wils</w:t>
      </w:r>
      <w:proofErr w:type="spellEnd"/>
      <w:r w:rsidR="001215AB">
        <w:rPr>
          <w:rFonts w:ascii="Aptos" w:hAnsi="Aptos"/>
          <w:color w:val="000000" w:themeColor="text1"/>
          <w:sz w:val="22"/>
          <w:szCs w:val="22"/>
          <w:lang w:val="en-US"/>
        </w:rPr>
        <w:t xml:space="preserve">. </w:t>
      </w:r>
    </w:p>
    <w:p w14:paraId="1C8CA91A" w14:textId="087E71DD" w:rsidR="006C0A0B" w:rsidRPr="006C0A0B" w:rsidRDefault="00E71CC3" w:rsidP="00642ECF">
      <w:pPr>
        <w:pStyle w:val="NormalWeb"/>
        <w:rPr>
          <w:rFonts w:ascii="Aptos" w:hAnsi="Aptos"/>
          <w:b/>
          <w:bCs/>
          <w:color w:val="114C6D"/>
          <w:lang w:val="en-US"/>
        </w:rPr>
      </w:pPr>
      <w:r>
        <w:rPr>
          <w:rFonts w:ascii="Aptos" w:hAnsi="Aptos"/>
          <w:b/>
          <w:bCs/>
          <w:color w:val="114C6D"/>
          <w:lang w:val="en-US"/>
        </w:rPr>
        <w:t>Mapping prominence studies and considerations to make</w:t>
      </w:r>
    </w:p>
    <w:p w14:paraId="55A9B487" w14:textId="37A0F969" w:rsidR="00175FB2" w:rsidRDefault="009E7A81" w:rsidP="004562A4">
      <w:pPr>
        <w:spacing w:before="100" w:beforeAutospacing="1" w:after="100" w:afterAutospacing="1"/>
        <w:rPr>
          <w:rFonts w:ascii="Aptos" w:hAnsi="Aptos"/>
          <w:color w:val="000000" w:themeColor="text1"/>
          <w:sz w:val="22"/>
          <w:szCs w:val="22"/>
          <w:lang w:val="en-US"/>
        </w:rPr>
      </w:pPr>
      <w:r>
        <w:rPr>
          <w:rFonts w:ascii="Aptos" w:hAnsi="Aptos"/>
          <w:color w:val="000000" w:themeColor="text1"/>
          <w:sz w:val="22"/>
          <w:szCs w:val="22"/>
          <w:lang w:val="en-US"/>
        </w:rPr>
        <w:t xml:space="preserve">Lobato, </w:t>
      </w:r>
      <w:proofErr w:type="spellStart"/>
      <w:r>
        <w:rPr>
          <w:rFonts w:ascii="Aptos" w:hAnsi="Aptos"/>
          <w:color w:val="000000" w:themeColor="text1"/>
          <w:sz w:val="22"/>
          <w:szCs w:val="22"/>
          <w:lang w:val="en-US"/>
        </w:rPr>
        <w:t>Scarlata</w:t>
      </w:r>
      <w:proofErr w:type="spellEnd"/>
      <w:r>
        <w:rPr>
          <w:rFonts w:ascii="Aptos" w:hAnsi="Aptos"/>
          <w:color w:val="000000" w:themeColor="text1"/>
          <w:sz w:val="22"/>
          <w:szCs w:val="22"/>
          <w:lang w:val="en-US"/>
        </w:rPr>
        <w:t xml:space="preserve"> and </w:t>
      </w:r>
      <w:proofErr w:type="spellStart"/>
      <w:r>
        <w:rPr>
          <w:rFonts w:ascii="Aptos" w:hAnsi="Aptos"/>
          <w:color w:val="000000" w:themeColor="text1"/>
          <w:sz w:val="22"/>
          <w:szCs w:val="22"/>
          <w:lang w:val="en-US"/>
        </w:rPr>
        <w:t>Wils</w:t>
      </w:r>
      <w:proofErr w:type="spellEnd"/>
      <w:r>
        <w:rPr>
          <w:rFonts w:ascii="Aptos" w:hAnsi="Aptos"/>
          <w:color w:val="000000" w:themeColor="text1"/>
          <w:sz w:val="22"/>
          <w:szCs w:val="22"/>
          <w:lang w:val="en-US"/>
        </w:rPr>
        <w:t xml:space="preserve"> (2024) divide streaming studies</w:t>
      </w:r>
      <w:r w:rsidR="00A7657D">
        <w:rPr>
          <w:rFonts w:ascii="Aptos" w:hAnsi="Aptos"/>
          <w:color w:val="000000" w:themeColor="text1"/>
          <w:sz w:val="22"/>
          <w:szCs w:val="22"/>
          <w:lang w:val="en-US"/>
        </w:rPr>
        <w:t xml:space="preserve"> on diversity</w:t>
      </w:r>
      <w:r>
        <w:rPr>
          <w:rFonts w:ascii="Aptos" w:hAnsi="Aptos"/>
          <w:color w:val="000000" w:themeColor="text1"/>
          <w:sz w:val="22"/>
          <w:szCs w:val="22"/>
          <w:lang w:val="en-US"/>
        </w:rPr>
        <w:t xml:space="preserve"> in three </w:t>
      </w:r>
      <w:r w:rsidR="00A7657D">
        <w:rPr>
          <w:rFonts w:ascii="Aptos" w:hAnsi="Aptos"/>
          <w:color w:val="000000" w:themeColor="text1"/>
          <w:sz w:val="22"/>
          <w:szCs w:val="22"/>
          <w:lang w:val="en-US"/>
        </w:rPr>
        <w:t xml:space="preserve">distinct </w:t>
      </w:r>
      <w:r>
        <w:rPr>
          <w:rFonts w:ascii="Aptos" w:hAnsi="Aptos"/>
          <w:color w:val="000000" w:themeColor="text1"/>
          <w:sz w:val="22"/>
          <w:szCs w:val="22"/>
          <w:lang w:val="en-US"/>
        </w:rPr>
        <w:t xml:space="preserve">categories: </w:t>
      </w:r>
      <w:r w:rsidRPr="00A907C8">
        <w:rPr>
          <w:rFonts w:ascii="Aptos" w:hAnsi="Aptos"/>
          <w:i/>
          <w:iCs/>
          <w:color w:val="000000" w:themeColor="text1"/>
          <w:sz w:val="22"/>
          <w:szCs w:val="22"/>
          <w:lang w:val="en-US"/>
        </w:rPr>
        <w:t>catalog studies</w:t>
      </w:r>
      <w:r>
        <w:rPr>
          <w:rFonts w:ascii="Aptos" w:hAnsi="Aptos"/>
          <w:color w:val="000000" w:themeColor="text1"/>
          <w:sz w:val="22"/>
          <w:szCs w:val="22"/>
          <w:lang w:val="en-US"/>
        </w:rPr>
        <w:t xml:space="preserve"> (examining content diversity</w:t>
      </w:r>
      <w:r w:rsidR="004562A4">
        <w:rPr>
          <w:rFonts w:ascii="Aptos" w:hAnsi="Aptos"/>
          <w:color w:val="000000" w:themeColor="text1"/>
          <w:sz w:val="22"/>
          <w:szCs w:val="22"/>
          <w:lang w:val="en-US"/>
        </w:rPr>
        <w:t>)</w:t>
      </w:r>
      <w:r>
        <w:rPr>
          <w:rFonts w:ascii="Aptos" w:hAnsi="Aptos"/>
          <w:color w:val="000000" w:themeColor="text1"/>
          <w:sz w:val="22"/>
          <w:szCs w:val="22"/>
          <w:lang w:val="en-US"/>
        </w:rPr>
        <w:t xml:space="preserve">, </w:t>
      </w:r>
      <w:r w:rsidRPr="00A907C8">
        <w:rPr>
          <w:rFonts w:ascii="Aptos" w:hAnsi="Aptos"/>
          <w:i/>
          <w:iCs/>
          <w:color w:val="000000" w:themeColor="text1"/>
          <w:sz w:val="22"/>
          <w:szCs w:val="22"/>
          <w:lang w:val="en-US"/>
        </w:rPr>
        <w:t>interface studies</w:t>
      </w:r>
      <w:r>
        <w:rPr>
          <w:rFonts w:ascii="Aptos" w:hAnsi="Aptos"/>
          <w:color w:val="000000" w:themeColor="text1"/>
          <w:sz w:val="22"/>
          <w:szCs w:val="22"/>
          <w:lang w:val="en-US"/>
        </w:rPr>
        <w:t xml:space="preserve"> (examining content diversity and exposure diversity) and </w:t>
      </w:r>
      <w:r w:rsidRPr="00A907C8">
        <w:rPr>
          <w:rFonts w:ascii="Aptos" w:hAnsi="Aptos"/>
          <w:i/>
          <w:iCs/>
          <w:color w:val="000000" w:themeColor="text1"/>
          <w:sz w:val="22"/>
          <w:szCs w:val="22"/>
          <w:lang w:val="en-US"/>
        </w:rPr>
        <w:t>audience studies</w:t>
      </w:r>
      <w:r>
        <w:rPr>
          <w:rFonts w:ascii="Aptos" w:hAnsi="Aptos"/>
          <w:color w:val="000000" w:themeColor="text1"/>
          <w:sz w:val="22"/>
          <w:szCs w:val="22"/>
          <w:lang w:val="en-US"/>
        </w:rPr>
        <w:t xml:space="preserve"> (examining exposure diversity)</w:t>
      </w:r>
      <w:r w:rsidR="001215AB">
        <w:rPr>
          <w:rFonts w:ascii="Aptos" w:hAnsi="Aptos"/>
          <w:color w:val="000000" w:themeColor="text1"/>
          <w:sz w:val="22"/>
          <w:szCs w:val="22"/>
          <w:lang w:val="en-US"/>
        </w:rPr>
        <w:t xml:space="preserve">. </w:t>
      </w:r>
      <w:r w:rsidR="004562A4">
        <w:rPr>
          <w:rFonts w:ascii="Aptos" w:hAnsi="Aptos"/>
          <w:color w:val="000000" w:themeColor="text1"/>
          <w:sz w:val="22"/>
          <w:szCs w:val="22"/>
          <w:lang w:val="en-US"/>
        </w:rPr>
        <w:t>Measuring prominence fits in the second category</w:t>
      </w:r>
      <w:r w:rsidR="00A907C8">
        <w:rPr>
          <w:rFonts w:ascii="Aptos" w:hAnsi="Aptos"/>
          <w:color w:val="000000" w:themeColor="text1"/>
          <w:sz w:val="22"/>
          <w:szCs w:val="22"/>
          <w:lang w:val="en-US"/>
        </w:rPr>
        <w:t>;</w:t>
      </w:r>
      <w:r w:rsidR="004562A4">
        <w:rPr>
          <w:rFonts w:ascii="Aptos" w:hAnsi="Aptos"/>
          <w:color w:val="000000" w:themeColor="text1"/>
          <w:sz w:val="22"/>
          <w:szCs w:val="22"/>
          <w:lang w:val="en-US"/>
        </w:rPr>
        <w:t xml:space="preserve"> however, </w:t>
      </w:r>
      <w:r w:rsidR="00A907C8">
        <w:rPr>
          <w:rFonts w:ascii="Aptos" w:hAnsi="Aptos"/>
          <w:color w:val="000000" w:themeColor="text1"/>
          <w:sz w:val="22"/>
          <w:szCs w:val="22"/>
          <w:lang w:val="en-US"/>
        </w:rPr>
        <w:t>and</w:t>
      </w:r>
      <w:r w:rsidR="004562A4">
        <w:rPr>
          <w:rFonts w:ascii="Aptos" w:hAnsi="Aptos"/>
          <w:color w:val="000000" w:themeColor="text1"/>
          <w:sz w:val="22"/>
          <w:szCs w:val="22"/>
          <w:lang w:val="en-US"/>
        </w:rPr>
        <w:t xml:space="preserve"> also noted by Lobato </w:t>
      </w:r>
      <w:proofErr w:type="gramStart"/>
      <w:r w:rsidR="004562A4">
        <w:rPr>
          <w:rFonts w:ascii="Aptos" w:hAnsi="Aptos"/>
          <w:color w:val="000000" w:themeColor="text1"/>
          <w:sz w:val="22"/>
          <w:szCs w:val="22"/>
          <w:lang w:val="en-US"/>
        </w:rPr>
        <w:t>et al.</w:t>
      </w:r>
      <w:r w:rsidR="00A907C8">
        <w:rPr>
          <w:rFonts w:ascii="Aptos" w:hAnsi="Aptos"/>
          <w:color w:val="000000" w:themeColor="text1"/>
          <w:sz w:val="22"/>
          <w:szCs w:val="22"/>
          <w:lang w:val="en-US"/>
        </w:rPr>
        <w:t>(</w:t>
      </w:r>
      <w:proofErr w:type="gramEnd"/>
      <w:r w:rsidR="00A907C8">
        <w:rPr>
          <w:rFonts w:ascii="Aptos" w:hAnsi="Aptos"/>
          <w:color w:val="000000" w:themeColor="text1"/>
          <w:sz w:val="22"/>
          <w:szCs w:val="22"/>
          <w:lang w:val="en-US"/>
        </w:rPr>
        <w:t>2024)</w:t>
      </w:r>
      <w:r w:rsidR="004562A4">
        <w:rPr>
          <w:rFonts w:ascii="Aptos" w:hAnsi="Aptos"/>
          <w:color w:val="000000" w:themeColor="text1"/>
          <w:sz w:val="22"/>
          <w:szCs w:val="22"/>
          <w:lang w:val="en-US"/>
        </w:rPr>
        <w:t xml:space="preserve">, </w:t>
      </w:r>
      <w:r w:rsidR="00A907C8">
        <w:rPr>
          <w:rFonts w:ascii="Aptos" w:hAnsi="Aptos"/>
          <w:color w:val="000000" w:themeColor="text1"/>
          <w:sz w:val="22"/>
          <w:szCs w:val="22"/>
          <w:lang w:val="en-US"/>
        </w:rPr>
        <w:t>the three distinct categories</w:t>
      </w:r>
      <w:r w:rsidR="004562A4">
        <w:rPr>
          <w:rFonts w:ascii="Aptos" w:hAnsi="Aptos"/>
          <w:color w:val="000000" w:themeColor="text1"/>
          <w:sz w:val="22"/>
          <w:szCs w:val="22"/>
          <w:lang w:val="en-US"/>
        </w:rPr>
        <w:t xml:space="preserve"> are interlinked and could </w:t>
      </w:r>
      <w:r w:rsidR="00175FB2">
        <w:rPr>
          <w:rFonts w:ascii="Aptos" w:hAnsi="Aptos"/>
          <w:color w:val="000000" w:themeColor="text1"/>
          <w:sz w:val="22"/>
          <w:szCs w:val="22"/>
          <w:lang w:val="en-US"/>
        </w:rPr>
        <w:t>theoretically</w:t>
      </w:r>
      <w:r w:rsidR="004562A4">
        <w:rPr>
          <w:rFonts w:ascii="Aptos" w:hAnsi="Aptos"/>
          <w:color w:val="000000" w:themeColor="text1"/>
          <w:sz w:val="22"/>
          <w:szCs w:val="22"/>
          <w:lang w:val="en-US"/>
        </w:rPr>
        <w:t xml:space="preserve"> be part of </w:t>
      </w:r>
      <w:r w:rsidR="00175FB2">
        <w:rPr>
          <w:rFonts w:ascii="Aptos" w:hAnsi="Aptos"/>
          <w:color w:val="000000" w:themeColor="text1"/>
          <w:sz w:val="22"/>
          <w:szCs w:val="22"/>
          <w:lang w:val="en-US"/>
        </w:rPr>
        <w:t>a combined</w:t>
      </w:r>
      <w:r w:rsidR="004562A4">
        <w:rPr>
          <w:rFonts w:ascii="Aptos" w:hAnsi="Aptos"/>
          <w:color w:val="000000" w:themeColor="text1"/>
          <w:sz w:val="22"/>
          <w:szCs w:val="22"/>
          <w:lang w:val="en-US"/>
        </w:rPr>
        <w:t xml:space="preserve"> research set-up on prominence. For example, </w:t>
      </w:r>
      <w:r w:rsidR="00175FB2">
        <w:rPr>
          <w:rFonts w:ascii="Aptos" w:hAnsi="Aptos"/>
          <w:color w:val="000000" w:themeColor="text1"/>
          <w:sz w:val="22"/>
          <w:szCs w:val="22"/>
          <w:lang w:val="en-US"/>
        </w:rPr>
        <w:t xml:space="preserve">is </w:t>
      </w:r>
      <w:r w:rsidR="004562A4">
        <w:rPr>
          <w:rFonts w:ascii="Aptos" w:hAnsi="Aptos"/>
          <w:color w:val="000000" w:themeColor="text1"/>
          <w:sz w:val="22"/>
          <w:szCs w:val="22"/>
          <w:lang w:val="en-US"/>
        </w:rPr>
        <w:t>content that is fully or mostly financed by streamer investments is more likely to be presented visibly by recommender systems</w:t>
      </w:r>
      <w:r w:rsidR="00175FB2">
        <w:rPr>
          <w:rFonts w:ascii="Aptos" w:hAnsi="Aptos"/>
          <w:color w:val="000000" w:themeColor="text1"/>
          <w:sz w:val="22"/>
          <w:szCs w:val="22"/>
          <w:lang w:val="en-US"/>
        </w:rPr>
        <w:t>? (</w:t>
      </w:r>
      <w:proofErr w:type="gramStart"/>
      <w:r w:rsidR="00175FB2">
        <w:rPr>
          <w:rFonts w:ascii="Aptos" w:hAnsi="Aptos"/>
          <w:color w:val="000000" w:themeColor="text1"/>
          <w:sz w:val="22"/>
          <w:szCs w:val="22"/>
          <w:lang w:val="en-US"/>
        </w:rPr>
        <w:t>which</w:t>
      </w:r>
      <w:proofErr w:type="gramEnd"/>
      <w:r w:rsidR="00175FB2">
        <w:rPr>
          <w:rFonts w:ascii="Aptos" w:hAnsi="Aptos"/>
          <w:color w:val="000000" w:themeColor="text1"/>
          <w:sz w:val="22"/>
          <w:szCs w:val="22"/>
          <w:lang w:val="en-US"/>
        </w:rPr>
        <w:t xml:space="preserve"> requires a combination of offerings and interface analysis).</w:t>
      </w:r>
      <w:r w:rsidR="00BD00EF">
        <w:rPr>
          <w:rFonts w:ascii="Aptos" w:hAnsi="Aptos"/>
          <w:color w:val="000000" w:themeColor="text1"/>
          <w:sz w:val="22"/>
          <w:szCs w:val="22"/>
          <w:lang w:val="en-US"/>
        </w:rPr>
        <w:t xml:space="preserve"> </w:t>
      </w:r>
      <w:r w:rsidR="00175FB2">
        <w:rPr>
          <w:rFonts w:ascii="Aptos" w:hAnsi="Aptos"/>
          <w:color w:val="000000" w:themeColor="text1"/>
          <w:sz w:val="22"/>
          <w:szCs w:val="22"/>
          <w:lang w:val="en-US"/>
        </w:rPr>
        <w:t xml:space="preserve">Specifically </w:t>
      </w:r>
      <w:proofErr w:type="gramStart"/>
      <w:r w:rsidR="00175FB2">
        <w:rPr>
          <w:rFonts w:ascii="Aptos" w:hAnsi="Aptos"/>
          <w:color w:val="000000" w:themeColor="text1"/>
          <w:sz w:val="22"/>
          <w:szCs w:val="22"/>
          <w:lang w:val="en-US"/>
        </w:rPr>
        <w:t>with regard to</w:t>
      </w:r>
      <w:proofErr w:type="gramEnd"/>
      <w:r w:rsidR="00175FB2">
        <w:rPr>
          <w:rFonts w:ascii="Aptos" w:hAnsi="Aptos"/>
          <w:color w:val="000000" w:themeColor="text1"/>
          <w:sz w:val="22"/>
          <w:szCs w:val="22"/>
          <w:lang w:val="en-US"/>
        </w:rPr>
        <w:t xml:space="preserve"> prominence measurement, methods and research foci differ markedly.</w:t>
      </w:r>
      <w:r w:rsidR="007E14BF">
        <w:rPr>
          <w:rFonts w:ascii="Aptos" w:hAnsi="Aptos"/>
          <w:color w:val="000000" w:themeColor="text1"/>
          <w:sz w:val="22"/>
          <w:szCs w:val="22"/>
          <w:lang w:val="en-US"/>
        </w:rPr>
        <w:t xml:space="preserve"> </w:t>
      </w:r>
      <w:r w:rsidR="009E4971">
        <w:rPr>
          <w:rFonts w:ascii="Aptos" w:hAnsi="Aptos"/>
          <w:color w:val="000000" w:themeColor="text1"/>
          <w:sz w:val="22"/>
          <w:szCs w:val="22"/>
          <w:lang w:val="en-US"/>
        </w:rPr>
        <w:t>Scholars within the PSM-AP project</w:t>
      </w:r>
      <w:r w:rsidR="00175FB2">
        <w:rPr>
          <w:rFonts w:ascii="Aptos" w:hAnsi="Aptos"/>
          <w:color w:val="000000" w:themeColor="text1"/>
          <w:sz w:val="22"/>
          <w:szCs w:val="22"/>
          <w:lang w:val="en-US"/>
        </w:rPr>
        <w:t>,</w:t>
      </w:r>
      <w:r w:rsidR="009E4971">
        <w:rPr>
          <w:rFonts w:ascii="Aptos" w:hAnsi="Aptos"/>
          <w:color w:val="000000" w:themeColor="text1"/>
          <w:sz w:val="22"/>
          <w:szCs w:val="22"/>
          <w:lang w:val="en-US"/>
        </w:rPr>
        <w:t xml:space="preserve"> for example</w:t>
      </w:r>
      <w:r w:rsidR="00175FB2">
        <w:rPr>
          <w:rFonts w:ascii="Aptos" w:hAnsi="Aptos"/>
          <w:color w:val="000000" w:themeColor="text1"/>
          <w:sz w:val="22"/>
          <w:szCs w:val="22"/>
          <w:lang w:val="en-US"/>
        </w:rPr>
        <w:t>,</w:t>
      </w:r>
      <w:r w:rsidR="009E4971">
        <w:rPr>
          <w:rFonts w:ascii="Aptos" w:hAnsi="Aptos"/>
          <w:color w:val="000000" w:themeColor="text1"/>
          <w:sz w:val="22"/>
          <w:szCs w:val="22"/>
          <w:lang w:val="en-US"/>
        </w:rPr>
        <w:t xml:space="preserve"> have, b</w:t>
      </w:r>
      <w:r w:rsidR="00E71CC3" w:rsidRPr="00E71CC3">
        <w:rPr>
          <w:rFonts w:ascii="Aptos" w:hAnsi="Aptos"/>
          <w:color w:val="000000" w:themeColor="text1"/>
          <w:sz w:val="22"/>
          <w:szCs w:val="22"/>
          <w:lang w:val="en-US"/>
        </w:rPr>
        <w:t xml:space="preserve">uilding </w:t>
      </w:r>
      <w:r w:rsidR="00E71CC3">
        <w:rPr>
          <w:rFonts w:ascii="Aptos" w:hAnsi="Aptos"/>
          <w:color w:val="000000" w:themeColor="text1"/>
          <w:sz w:val="22"/>
          <w:szCs w:val="22"/>
          <w:lang w:val="en-US"/>
        </w:rPr>
        <w:t xml:space="preserve">on </w:t>
      </w:r>
      <w:r w:rsidR="00E71CC3" w:rsidRPr="00E71CC3">
        <w:rPr>
          <w:rFonts w:ascii="Aptos" w:hAnsi="Aptos"/>
          <w:color w:val="000000" w:themeColor="text1"/>
          <w:sz w:val="22"/>
          <w:szCs w:val="22"/>
        </w:rPr>
        <w:t xml:space="preserve">scheduling studies </w:t>
      </w:r>
      <w:r w:rsidR="00E71CC3" w:rsidRPr="00E71CC3">
        <w:rPr>
          <w:rFonts w:ascii="Aptos" w:hAnsi="Aptos"/>
          <w:color w:val="000000" w:themeColor="text1"/>
          <w:sz w:val="22"/>
          <w:szCs w:val="22"/>
          <w:lang w:val="en-US"/>
        </w:rPr>
        <w:t>and setting out from</w:t>
      </w:r>
      <w:r w:rsidR="00E71CC3">
        <w:rPr>
          <w:rFonts w:ascii="Aptos" w:hAnsi="Aptos"/>
          <w:color w:val="000000" w:themeColor="text1"/>
          <w:sz w:val="22"/>
          <w:szCs w:val="22"/>
          <w:lang w:val="en-US"/>
        </w:rPr>
        <w:t xml:space="preserve"> </w:t>
      </w:r>
      <w:r w:rsidR="00175FB2">
        <w:rPr>
          <w:rFonts w:ascii="Aptos" w:hAnsi="Aptos"/>
          <w:color w:val="000000" w:themeColor="text1"/>
          <w:sz w:val="22"/>
          <w:szCs w:val="22"/>
          <w:lang w:val="en-US"/>
        </w:rPr>
        <w:t xml:space="preserve">the lens of </w:t>
      </w:r>
      <w:r w:rsidR="00E71CC3" w:rsidRPr="00E71CC3">
        <w:rPr>
          <w:rFonts w:ascii="Aptos" w:hAnsi="Aptos"/>
          <w:color w:val="000000" w:themeColor="text1"/>
          <w:sz w:val="22"/>
          <w:szCs w:val="22"/>
        </w:rPr>
        <w:t>‘transprogramming’</w:t>
      </w:r>
      <w:r w:rsidR="00E71CC3">
        <w:rPr>
          <w:rFonts w:ascii="Aptos" w:hAnsi="Aptos"/>
          <w:color w:val="000000" w:themeColor="text1"/>
          <w:sz w:val="22"/>
          <w:szCs w:val="22"/>
          <w:lang w:val="en-US"/>
        </w:rPr>
        <w:t xml:space="preserve">, analyzed prominence of titles and content in the </w:t>
      </w:r>
      <w:r w:rsidR="00E71CC3" w:rsidRPr="00E71CC3">
        <w:rPr>
          <w:rFonts w:ascii="Aptos" w:hAnsi="Aptos"/>
          <w:color w:val="000000" w:themeColor="text1"/>
          <w:sz w:val="22"/>
          <w:szCs w:val="22"/>
        </w:rPr>
        <w:t xml:space="preserve">prime space </w:t>
      </w:r>
      <w:r w:rsidR="00E71CC3" w:rsidRPr="00E71CC3">
        <w:rPr>
          <w:rFonts w:ascii="Aptos" w:hAnsi="Aptos"/>
          <w:color w:val="000000" w:themeColor="text1"/>
          <w:sz w:val="22"/>
          <w:szCs w:val="22"/>
          <w:lang w:val="en-US"/>
        </w:rPr>
        <w:t>of</w:t>
      </w:r>
      <w:r w:rsidR="00E71CC3">
        <w:rPr>
          <w:rFonts w:ascii="Aptos" w:hAnsi="Aptos"/>
          <w:color w:val="000000" w:themeColor="text1"/>
          <w:sz w:val="22"/>
          <w:szCs w:val="22"/>
          <w:lang w:val="en-US"/>
        </w:rPr>
        <w:t xml:space="preserve"> </w:t>
      </w:r>
      <w:r w:rsidR="006A20C6">
        <w:rPr>
          <w:rFonts w:ascii="Aptos" w:hAnsi="Aptos"/>
          <w:color w:val="000000" w:themeColor="text1"/>
          <w:sz w:val="22"/>
          <w:szCs w:val="22"/>
          <w:lang w:val="en-US"/>
        </w:rPr>
        <w:t xml:space="preserve">public service media </w:t>
      </w:r>
      <w:r w:rsidR="00E71CC3">
        <w:rPr>
          <w:rFonts w:ascii="Aptos" w:hAnsi="Aptos"/>
          <w:color w:val="000000" w:themeColor="text1"/>
          <w:sz w:val="22"/>
          <w:szCs w:val="22"/>
          <w:lang w:val="en-US"/>
        </w:rPr>
        <w:t>VOD portals (</w:t>
      </w:r>
      <w:proofErr w:type="spellStart"/>
      <w:r w:rsidR="009E4971">
        <w:rPr>
          <w:rFonts w:ascii="Aptos" w:hAnsi="Aptos"/>
          <w:color w:val="000000" w:themeColor="text1"/>
          <w:sz w:val="22"/>
          <w:szCs w:val="22"/>
          <w:lang w:val="en-US"/>
        </w:rPr>
        <w:t>Bruun</w:t>
      </w:r>
      <w:proofErr w:type="spellEnd"/>
      <w:r w:rsidR="009E4971">
        <w:rPr>
          <w:rFonts w:ascii="Aptos" w:hAnsi="Aptos"/>
          <w:color w:val="000000" w:themeColor="text1"/>
          <w:sz w:val="22"/>
          <w:szCs w:val="22"/>
          <w:lang w:val="en-US"/>
        </w:rPr>
        <w:t xml:space="preserve"> &amp; Lassen, 2024; </w:t>
      </w:r>
      <w:proofErr w:type="spellStart"/>
      <w:r w:rsidR="00E71CC3">
        <w:rPr>
          <w:rFonts w:ascii="Aptos" w:hAnsi="Aptos"/>
          <w:color w:val="000000" w:themeColor="text1"/>
          <w:sz w:val="22"/>
          <w:szCs w:val="22"/>
          <w:lang w:val="en-US"/>
        </w:rPr>
        <w:t>Bruun</w:t>
      </w:r>
      <w:proofErr w:type="spellEnd"/>
      <w:r w:rsidR="00E71CC3">
        <w:rPr>
          <w:rFonts w:ascii="Aptos" w:hAnsi="Aptos"/>
          <w:color w:val="000000" w:themeColor="text1"/>
          <w:sz w:val="22"/>
          <w:szCs w:val="22"/>
          <w:lang w:val="en-US"/>
        </w:rPr>
        <w:t xml:space="preserve"> et al. forthcoming</w:t>
      </w:r>
      <w:r w:rsidR="009E4971">
        <w:rPr>
          <w:rFonts w:ascii="Aptos" w:hAnsi="Aptos"/>
          <w:color w:val="000000" w:themeColor="text1"/>
          <w:sz w:val="22"/>
          <w:szCs w:val="22"/>
          <w:lang w:val="en-US"/>
        </w:rPr>
        <w:t xml:space="preserve">). </w:t>
      </w:r>
      <w:r w:rsidR="006A20C6">
        <w:rPr>
          <w:rFonts w:ascii="Aptos" w:hAnsi="Aptos"/>
          <w:color w:val="000000" w:themeColor="text1"/>
          <w:sz w:val="22"/>
          <w:szCs w:val="22"/>
          <w:lang w:val="en-US"/>
        </w:rPr>
        <w:t xml:space="preserve">In the same project, researchers also examined prominence of public service media content in their VOD portal based on reversed engineering of user profiles (Lassen et al. 2018), a method also used by </w:t>
      </w:r>
      <w:proofErr w:type="spellStart"/>
      <w:r w:rsidR="006A20C6">
        <w:rPr>
          <w:rFonts w:ascii="Aptos" w:hAnsi="Aptos"/>
          <w:color w:val="000000" w:themeColor="text1"/>
          <w:sz w:val="22"/>
          <w:szCs w:val="22"/>
          <w:lang w:val="en-US"/>
        </w:rPr>
        <w:t>Pajkovic</w:t>
      </w:r>
      <w:proofErr w:type="spellEnd"/>
      <w:r w:rsidR="006A20C6">
        <w:rPr>
          <w:rFonts w:ascii="Aptos" w:hAnsi="Aptos"/>
          <w:color w:val="000000" w:themeColor="text1"/>
          <w:sz w:val="22"/>
          <w:szCs w:val="22"/>
          <w:lang w:val="en-US"/>
        </w:rPr>
        <w:t xml:space="preserve"> (2022) and Bucher (2018). </w:t>
      </w:r>
      <w:r w:rsidR="00202FF5">
        <w:rPr>
          <w:rFonts w:ascii="Aptos" w:hAnsi="Aptos"/>
          <w:color w:val="000000" w:themeColor="text1"/>
          <w:sz w:val="22"/>
          <w:szCs w:val="22"/>
          <w:lang w:val="en-US"/>
        </w:rPr>
        <w:t>In the examples above and other studies in the field, considerations were made as (</w:t>
      </w:r>
      <w:proofErr w:type="spellStart"/>
      <w:r w:rsidR="00202FF5">
        <w:rPr>
          <w:rFonts w:ascii="Aptos" w:hAnsi="Aptos"/>
          <w:color w:val="000000" w:themeColor="text1"/>
          <w:sz w:val="22"/>
          <w:szCs w:val="22"/>
          <w:lang w:val="en-US"/>
        </w:rPr>
        <w:t>i</w:t>
      </w:r>
      <w:proofErr w:type="spellEnd"/>
      <w:r w:rsidR="00202FF5">
        <w:rPr>
          <w:rFonts w:ascii="Aptos" w:hAnsi="Aptos"/>
          <w:color w:val="000000" w:themeColor="text1"/>
          <w:sz w:val="22"/>
          <w:szCs w:val="22"/>
          <w:lang w:val="en-US"/>
        </w:rPr>
        <w:t xml:space="preserve">) the scope of players and portals involved, (ii) the choice of devices to examine prominence, and (iii) the extent to which tiles and lanes are captured, (iv) the way users dealt with profile data and the impact on title positioning within catalogs. </w:t>
      </w:r>
    </w:p>
    <w:p w14:paraId="1751E515" w14:textId="11D7C46D" w:rsidR="00DE16F2" w:rsidRDefault="00202FF5" w:rsidP="004562A4">
      <w:pPr>
        <w:spacing w:before="100" w:beforeAutospacing="1" w:after="100" w:afterAutospacing="1"/>
        <w:rPr>
          <w:rFonts w:ascii="Aptos" w:hAnsi="Aptos"/>
          <w:color w:val="000000" w:themeColor="text1"/>
          <w:sz w:val="22"/>
          <w:szCs w:val="22"/>
          <w:lang w:val="en-US"/>
        </w:rPr>
      </w:pPr>
      <w:r>
        <w:rPr>
          <w:rFonts w:ascii="Aptos" w:hAnsi="Aptos"/>
          <w:color w:val="000000" w:themeColor="text1"/>
          <w:sz w:val="22"/>
          <w:szCs w:val="22"/>
          <w:lang w:val="en-US"/>
        </w:rPr>
        <w:t>Furthermore</w:t>
      </w:r>
      <w:r w:rsidR="00774D9C">
        <w:rPr>
          <w:rFonts w:ascii="Aptos" w:hAnsi="Aptos"/>
          <w:color w:val="000000" w:themeColor="text1"/>
          <w:sz w:val="22"/>
          <w:szCs w:val="22"/>
          <w:lang w:val="en-US"/>
        </w:rPr>
        <w:t>,</w:t>
      </w:r>
      <w:r>
        <w:rPr>
          <w:rFonts w:ascii="Aptos" w:hAnsi="Aptos"/>
          <w:color w:val="000000" w:themeColor="text1"/>
          <w:sz w:val="22"/>
          <w:szCs w:val="22"/>
          <w:lang w:val="en-US"/>
        </w:rPr>
        <w:t xml:space="preserve"> a</w:t>
      </w:r>
      <w:r w:rsidR="00175FB2">
        <w:rPr>
          <w:rFonts w:ascii="Aptos" w:hAnsi="Aptos"/>
          <w:color w:val="000000" w:themeColor="text1"/>
          <w:sz w:val="22"/>
          <w:szCs w:val="22"/>
          <w:lang w:val="en-US"/>
        </w:rPr>
        <w:t xml:space="preserve"> lot of these studies share </w:t>
      </w:r>
      <w:proofErr w:type="gramStart"/>
      <w:r w:rsidR="00175FB2">
        <w:rPr>
          <w:rFonts w:ascii="Aptos" w:hAnsi="Aptos"/>
          <w:color w:val="000000" w:themeColor="text1"/>
          <w:sz w:val="22"/>
          <w:szCs w:val="22"/>
          <w:lang w:val="en-US"/>
        </w:rPr>
        <w:t>a number of</w:t>
      </w:r>
      <w:proofErr w:type="gramEnd"/>
      <w:r w:rsidR="00175FB2">
        <w:rPr>
          <w:rFonts w:ascii="Aptos" w:hAnsi="Aptos"/>
          <w:color w:val="000000" w:themeColor="text1"/>
          <w:sz w:val="22"/>
          <w:szCs w:val="22"/>
          <w:lang w:val="en-US"/>
        </w:rPr>
        <w:t xml:space="preserve"> common characteristics with existing VOD mapping studies:</w:t>
      </w:r>
      <w:r>
        <w:rPr>
          <w:rFonts w:ascii="Aptos" w:hAnsi="Aptos"/>
          <w:color w:val="000000" w:themeColor="text1"/>
          <w:sz w:val="22"/>
          <w:szCs w:val="22"/>
          <w:lang w:val="en-US"/>
        </w:rPr>
        <w:t xml:space="preserve"> firstly,</w:t>
      </w:r>
      <w:r w:rsidR="00175FB2">
        <w:rPr>
          <w:rFonts w:ascii="Aptos" w:hAnsi="Aptos"/>
          <w:color w:val="000000" w:themeColor="text1"/>
          <w:sz w:val="22"/>
          <w:szCs w:val="22"/>
          <w:lang w:val="en-US"/>
        </w:rPr>
        <w:t xml:space="preserve"> </w:t>
      </w:r>
      <w:r>
        <w:rPr>
          <w:rFonts w:ascii="Aptos" w:hAnsi="Aptos"/>
          <w:color w:val="000000" w:themeColor="text1"/>
          <w:sz w:val="22"/>
          <w:szCs w:val="22"/>
          <w:lang w:val="en-US"/>
        </w:rPr>
        <w:t xml:space="preserve">in </w:t>
      </w:r>
      <w:r w:rsidR="00175FB2">
        <w:rPr>
          <w:rFonts w:ascii="Aptos" w:hAnsi="Aptos"/>
          <w:color w:val="000000" w:themeColor="text1"/>
          <w:sz w:val="22"/>
          <w:szCs w:val="22"/>
          <w:lang w:val="en-US"/>
        </w:rPr>
        <w:t xml:space="preserve">most typologies, genre labels or classifications </w:t>
      </w:r>
      <w:r>
        <w:rPr>
          <w:rFonts w:ascii="Aptos" w:hAnsi="Aptos"/>
          <w:color w:val="000000" w:themeColor="text1"/>
          <w:sz w:val="22"/>
          <w:szCs w:val="22"/>
          <w:lang w:val="en-US"/>
        </w:rPr>
        <w:t>are based on choices of the researchers making cross-research comparisons more difficult. Second,</w:t>
      </w:r>
      <w:r w:rsidR="00175FB2">
        <w:rPr>
          <w:rFonts w:ascii="Aptos" w:hAnsi="Aptos"/>
          <w:color w:val="000000" w:themeColor="text1"/>
          <w:sz w:val="22"/>
          <w:szCs w:val="22"/>
          <w:lang w:val="en-US"/>
        </w:rPr>
        <w:t xml:space="preserve"> the geographic scope of countries/regions included in studies are usually limited to Europe and Australia;</w:t>
      </w:r>
      <w:r>
        <w:rPr>
          <w:rFonts w:ascii="Aptos" w:hAnsi="Aptos"/>
          <w:color w:val="000000" w:themeColor="text1"/>
          <w:sz w:val="22"/>
          <w:szCs w:val="22"/>
          <w:lang w:val="en-US"/>
        </w:rPr>
        <w:t xml:space="preserve"> thirdly,</w:t>
      </w:r>
      <w:r w:rsidR="00175FB2">
        <w:rPr>
          <w:rFonts w:ascii="Aptos" w:hAnsi="Aptos"/>
          <w:color w:val="000000" w:themeColor="text1"/>
          <w:sz w:val="22"/>
          <w:szCs w:val="22"/>
          <w:lang w:val="en-US"/>
        </w:rPr>
        <w:t xml:space="preserve"> the players scrutinized are </w:t>
      </w:r>
      <w:r>
        <w:rPr>
          <w:rFonts w:ascii="Aptos" w:hAnsi="Aptos"/>
          <w:color w:val="000000" w:themeColor="text1"/>
          <w:sz w:val="22"/>
          <w:szCs w:val="22"/>
          <w:lang w:val="en-US"/>
        </w:rPr>
        <w:t xml:space="preserve">often </w:t>
      </w:r>
      <w:r w:rsidR="00175FB2">
        <w:rPr>
          <w:rFonts w:ascii="Aptos" w:hAnsi="Aptos"/>
          <w:color w:val="000000" w:themeColor="text1"/>
          <w:sz w:val="22"/>
          <w:szCs w:val="22"/>
          <w:lang w:val="en-US"/>
        </w:rPr>
        <w:t xml:space="preserve">limited to large (US-originated) streamers present in most markets; </w:t>
      </w:r>
      <w:r>
        <w:rPr>
          <w:rFonts w:ascii="Aptos" w:hAnsi="Aptos"/>
          <w:color w:val="000000" w:themeColor="text1"/>
          <w:sz w:val="22"/>
          <w:szCs w:val="22"/>
          <w:lang w:val="en-US"/>
        </w:rPr>
        <w:t xml:space="preserve">fourth, </w:t>
      </w:r>
      <w:r w:rsidR="00175FB2">
        <w:rPr>
          <w:rFonts w:ascii="Aptos" w:hAnsi="Aptos"/>
          <w:color w:val="000000" w:themeColor="text1"/>
          <w:sz w:val="22"/>
          <w:szCs w:val="22"/>
          <w:lang w:val="en-US"/>
        </w:rPr>
        <w:t xml:space="preserve">the research draw </w:t>
      </w:r>
      <w:r>
        <w:rPr>
          <w:rFonts w:ascii="Aptos" w:hAnsi="Aptos"/>
          <w:color w:val="000000" w:themeColor="text1"/>
          <w:sz w:val="22"/>
          <w:szCs w:val="22"/>
          <w:lang w:val="en-US"/>
        </w:rPr>
        <w:t>an increasing part</w:t>
      </w:r>
      <w:r w:rsidR="00175FB2">
        <w:rPr>
          <w:rFonts w:ascii="Aptos" w:hAnsi="Aptos"/>
          <w:color w:val="000000" w:themeColor="text1"/>
          <w:sz w:val="22"/>
          <w:szCs w:val="22"/>
          <w:lang w:val="en-US"/>
        </w:rPr>
        <w:t xml:space="preserve"> of it collection on data aggregated through </w:t>
      </w:r>
      <w:proofErr w:type="spellStart"/>
      <w:r w:rsidR="00175FB2">
        <w:rPr>
          <w:rFonts w:ascii="Aptos" w:hAnsi="Aptos"/>
          <w:color w:val="000000" w:themeColor="text1"/>
          <w:sz w:val="22"/>
          <w:szCs w:val="22"/>
          <w:lang w:val="en-US"/>
        </w:rPr>
        <w:t>Justwatch</w:t>
      </w:r>
      <w:proofErr w:type="spellEnd"/>
      <w:r w:rsidR="00175FB2">
        <w:rPr>
          <w:rFonts w:ascii="Aptos" w:hAnsi="Aptos"/>
          <w:color w:val="000000" w:themeColor="text1"/>
          <w:sz w:val="22"/>
          <w:szCs w:val="22"/>
          <w:lang w:val="en-US"/>
        </w:rPr>
        <w:t xml:space="preserve"> or the European Audiovisual Observatory</w:t>
      </w:r>
      <w:r>
        <w:rPr>
          <w:rFonts w:ascii="Aptos" w:hAnsi="Aptos"/>
          <w:color w:val="000000" w:themeColor="text1"/>
          <w:sz w:val="22"/>
          <w:szCs w:val="22"/>
          <w:lang w:val="en-US"/>
        </w:rPr>
        <w:t xml:space="preserve"> or data collection through collaboration with or purchasing of data from third-party consultants (of which Ampere Analysis is the market leader)</w:t>
      </w:r>
      <w:r w:rsidR="00175FB2">
        <w:rPr>
          <w:rFonts w:ascii="Aptos" w:hAnsi="Aptos"/>
          <w:color w:val="000000" w:themeColor="text1"/>
          <w:sz w:val="22"/>
          <w:szCs w:val="22"/>
          <w:lang w:val="en-US"/>
        </w:rPr>
        <w:t>;</w:t>
      </w:r>
      <w:r>
        <w:rPr>
          <w:rFonts w:ascii="Aptos" w:hAnsi="Aptos"/>
          <w:color w:val="000000" w:themeColor="text1"/>
          <w:sz w:val="22"/>
          <w:szCs w:val="22"/>
          <w:lang w:val="en-US"/>
        </w:rPr>
        <w:t xml:space="preserve"> fifth,</w:t>
      </w:r>
      <w:r w:rsidR="00175FB2">
        <w:rPr>
          <w:rFonts w:ascii="Aptos" w:hAnsi="Aptos"/>
          <w:color w:val="000000" w:themeColor="text1"/>
          <w:sz w:val="22"/>
          <w:szCs w:val="22"/>
          <w:lang w:val="en-US"/>
        </w:rPr>
        <w:t xml:space="preserve"> all of the research here builds on a combination of qualitative and quantitative analyses; </w:t>
      </w:r>
      <w:r>
        <w:rPr>
          <w:rFonts w:ascii="Aptos" w:hAnsi="Aptos"/>
          <w:color w:val="000000" w:themeColor="text1"/>
          <w:sz w:val="22"/>
          <w:szCs w:val="22"/>
          <w:lang w:val="en-US"/>
        </w:rPr>
        <w:t xml:space="preserve">sixth, </w:t>
      </w:r>
      <w:r w:rsidR="00175FB2">
        <w:rPr>
          <w:rFonts w:ascii="Aptos" w:hAnsi="Aptos"/>
          <w:color w:val="000000" w:themeColor="text1"/>
          <w:sz w:val="22"/>
          <w:szCs w:val="22"/>
          <w:lang w:val="en-US"/>
        </w:rPr>
        <w:t xml:space="preserve">despite the modest uptake of digital methods and </w:t>
      </w:r>
      <w:r w:rsidR="00175FB2">
        <w:rPr>
          <w:rFonts w:ascii="Aptos" w:hAnsi="Aptos"/>
          <w:color w:val="000000" w:themeColor="text1"/>
          <w:sz w:val="22"/>
          <w:szCs w:val="22"/>
          <w:lang w:val="en-US"/>
        </w:rPr>
        <w:lastRenderedPageBreak/>
        <w:t xml:space="preserve">AI-assisted tools, all research requires significant manual data cleaning given the lack of systematic data; all research is based on a snapshot or very limited in timespan. </w:t>
      </w:r>
      <w:r>
        <w:rPr>
          <w:rFonts w:ascii="Aptos" w:hAnsi="Aptos"/>
          <w:color w:val="000000" w:themeColor="text1"/>
          <w:sz w:val="22"/>
          <w:szCs w:val="22"/>
          <w:lang w:val="en-US"/>
        </w:rPr>
        <w:t>Lastly, the research provides a snapshot, and f</w:t>
      </w:r>
      <w:r w:rsidR="00175FB2">
        <w:rPr>
          <w:rFonts w:ascii="Aptos" w:hAnsi="Aptos"/>
          <w:color w:val="000000" w:themeColor="text1"/>
          <w:sz w:val="22"/>
          <w:szCs w:val="22"/>
          <w:lang w:val="en-US"/>
        </w:rPr>
        <w:t>ollow-up research</w:t>
      </w:r>
      <w:r>
        <w:rPr>
          <w:rFonts w:ascii="Aptos" w:hAnsi="Aptos"/>
          <w:color w:val="000000" w:themeColor="text1"/>
          <w:sz w:val="22"/>
          <w:szCs w:val="22"/>
          <w:lang w:val="en-US"/>
        </w:rPr>
        <w:t xml:space="preserve"> or research encompassing a longer timeframe</w:t>
      </w:r>
      <w:r w:rsidR="00175FB2">
        <w:rPr>
          <w:rFonts w:ascii="Aptos" w:hAnsi="Aptos"/>
          <w:color w:val="000000" w:themeColor="text1"/>
          <w:sz w:val="22"/>
          <w:szCs w:val="22"/>
          <w:lang w:val="en-US"/>
        </w:rPr>
        <w:t xml:space="preserve"> is lacking</w:t>
      </w:r>
      <w:r>
        <w:rPr>
          <w:rFonts w:ascii="Aptos" w:hAnsi="Aptos"/>
          <w:color w:val="000000" w:themeColor="text1"/>
          <w:sz w:val="22"/>
          <w:szCs w:val="22"/>
          <w:lang w:val="en-US"/>
        </w:rPr>
        <w:t xml:space="preserve">, yet </w:t>
      </w:r>
      <w:r w:rsidR="00175FB2">
        <w:rPr>
          <w:rFonts w:ascii="Aptos" w:hAnsi="Aptos"/>
          <w:color w:val="000000" w:themeColor="text1"/>
          <w:sz w:val="22"/>
          <w:szCs w:val="22"/>
          <w:lang w:val="en-US"/>
        </w:rPr>
        <w:t xml:space="preserve">especially important given the dynamic of placement in catalogs (see also Lobato et al. 2024). </w:t>
      </w:r>
    </w:p>
    <w:p w14:paraId="004D35A7" w14:textId="79AF0CE7" w:rsidR="000F2DD1" w:rsidRDefault="004562A4" w:rsidP="004562A4">
      <w:pPr>
        <w:spacing w:before="100" w:beforeAutospacing="1" w:after="100" w:afterAutospacing="1"/>
        <w:rPr>
          <w:rFonts w:ascii="Aptos" w:hAnsi="Aptos"/>
          <w:color w:val="000000" w:themeColor="text1"/>
          <w:sz w:val="22"/>
          <w:szCs w:val="22"/>
          <w:lang w:val="en-US"/>
        </w:rPr>
      </w:pPr>
      <w:r>
        <w:rPr>
          <w:rFonts w:ascii="Aptos" w:hAnsi="Aptos"/>
          <w:color w:val="000000" w:themeColor="text1"/>
          <w:sz w:val="22"/>
          <w:szCs w:val="22"/>
          <w:lang w:val="en-US"/>
        </w:rPr>
        <w:t>Research on prominence could – given the extent of considerations made – benefit from a more systematic vocabulary and categorization</w:t>
      </w:r>
      <w:r w:rsidRPr="004562A4">
        <w:rPr>
          <w:rFonts w:ascii="Aptos" w:hAnsi="Aptos"/>
          <w:color w:val="000000" w:themeColor="text1"/>
          <w:sz w:val="22"/>
          <w:szCs w:val="22"/>
          <w:lang w:val="en-US"/>
        </w:rPr>
        <w:t xml:space="preserve"> </w:t>
      </w:r>
      <w:r>
        <w:rPr>
          <w:rFonts w:ascii="Aptos" w:hAnsi="Aptos"/>
          <w:color w:val="000000" w:themeColor="text1"/>
          <w:sz w:val="22"/>
          <w:szCs w:val="22"/>
          <w:lang w:val="en-US"/>
        </w:rPr>
        <w:t xml:space="preserve">that </w:t>
      </w:r>
      <w:r w:rsidRPr="004562A4">
        <w:rPr>
          <w:rFonts w:ascii="Aptos" w:hAnsi="Aptos"/>
          <w:color w:val="000000" w:themeColor="text1"/>
          <w:sz w:val="22"/>
          <w:szCs w:val="22"/>
          <w:lang w:val="en-US"/>
        </w:rPr>
        <w:t xml:space="preserve">presents </w:t>
      </w:r>
      <w:r w:rsidRPr="004562A4">
        <w:rPr>
          <w:rFonts w:ascii="Aptos" w:hAnsi="Aptos"/>
          <w:color w:val="000000" w:themeColor="text1"/>
          <w:sz w:val="22"/>
          <w:szCs w:val="22"/>
        </w:rPr>
        <w:t xml:space="preserve">the </w:t>
      </w:r>
      <w:r w:rsidRPr="004562A4">
        <w:rPr>
          <w:rFonts w:ascii="Aptos" w:hAnsi="Aptos"/>
          <w:color w:val="000000" w:themeColor="text1"/>
          <w:sz w:val="22"/>
          <w:szCs w:val="22"/>
          <w:lang w:val="en-US"/>
        </w:rPr>
        <w:t xml:space="preserve">different forms of potential research as well as the </w:t>
      </w:r>
      <w:r w:rsidRPr="004562A4">
        <w:rPr>
          <w:rFonts w:ascii="Aptos" w:hAnsi="Aptos"/>
          <w:color w:val="000000" w:themeColor="text1"/>
          <w:sz w:val="22"/>
          <w:szCs w:val="22"/>
        </w:rPr>
        <w:t>considerations researchers should address when developing a research design, detailing the strengths and limitations of each approach.</w:t>
      </w:r>
      <w:r w:rsidR="00115324" w:rsidRPr="00115324">
        <w:rPr>
          <w:rFonts w:ascii="Aptos" w:hAnsi="Aptos"/>
          <w:color w:val="000000" w:themeColor="text1"/>
          <w:sz w:val="22"/>
          <w:szCs w:val="22"/>
          <w:lang w:val="en-US"/>
        </w:rPr>
        <w:t xml:space="preserve"> The toolbox presented in this paper cons</w:t>
      </w:r>
      <w:r w:rsidR="00115324">
        <w:rPr>
          <w:rFonts w:ascii="Aptos" w:hAnsi="Aptos"/>
          <w:color w:val="000000" w:themeColor="text1"/>
          <w:sz w:val="22"/>
          <w:szCs w:val="22"/>
          <w:lang w:val="en-US"/>
        </w:rPr>
        <w:t>ists of four types of considerations.</w:t>
      </w:r>
      <w:r w:rsidR="000F2DD1">
        <w:rPr>
          <w:rFonts w:ascii="Aptos" w:hAnsi="Aptos"/>
          <w:color w:val="000000" w:themeColor="text1"/>
          <w:sz w:val="22"/>
          <w:szCs w:val="22"/>
          <w:lang w:val="en-US"/>
        </w:rPr>
        <w:t xml:space="preserve"> The first consideration defines the type of comparison researchers pursue. We distinguish three:</w:t>
      </w:r>
    </w:p>
    <w:tbl>
      <w:tblPr>
        <w:tblW w:w="9062" w:type="dxa"/>
        <w:tblCellMar>
          <w:left w:w="0" w:type="dxa"/>
          <w:right w:w="0" w:type="dxa"/>
        </w:tblCellMar>
        <w:tblLook w:val="0420" w:firstRow="1" w:lastRow="0" w:firstColumn="0" w:lastColumn="0" w:noHBand="0" w:noVBand="1"/>
      </w:tblPr>
      <w:tblGrid>
        <w:gridCol w:w="557"/>
        <w:gridCol w:w="5529"/>
        <w:gridCol w:w="2976"/>
      </w:tblGrid>
      <w:tr w:rsidR="000F2DD1" w:rsidRPr="0051633C" w14:paraId="008AE49C" w14:textId="77777777" w:rsidTr="00E14FB5">
        <w:trPr>
          <w:trHeight w:val="284"/>
        </w:trPr>
        <w:tc>
          <w:tcPr>
            <w:tcW w:w="557" w:type="dxa"/>
            <w:tcBorders>
              <w:top w:val="single" w:sz="8" w:space="0" w:color="FFFFFF"/>
              <w:left w:val="single" w:sz="8" w:space="0" w:color="FFFFFF"/>
              <w:bottom w:val="single" w:sz="24" w:space="0" w:color="FFFFFF"/>
              <w:right w:val="single" w:sz="8" w:space="0" w:color="FFFFFF"/>
            </w:tcBorders>
            <w:shd w:val="clear" w:color="auto" w:fill="BF0000"/>
            <w:tcMar>
              <w:top w:w="72" w:type="dxa"/>
              <w:left w:w="144" w:type="dxa"/>
              <w:bottom w:w="72" w:type="dxa"/>
              <w:right w:w="144" w:type="dxa"/>
            </w:tcMar>
            <w:hideMark/>
          </w:tcPr>
          <w:p w14:paraId="165DAD6A" w14:textId="77777777" w:rsidR="000F2DD1" w:rsidRPr="0051633C" w:rsidRDefault="000F2DD1" w:rsidP="00131F20">
            <w:pPr>
              <w:spacing w:before="100" w:beforeAutospacing="1" w:after="100" w:afterAutospacing="1"/>
              <w:rPr>
                <w:rFonts w:ascii="Aptos" w:hAnsi="Aptos"/>
                <w:color w:val="000000" w:themeColor="text1"/>
                <w:sz w:val="20"/>
                <w:szCs w:val="20"/>
              </w:rPr>
            </w:pPr>
            <w:r w:rsidRPr="0051633C">
              <w:rPr>
                <w:rFonts w:ascii="Aptos" w:hAnsi="Aptos"/>
                <w:b/>
                <w:bCs/>
                <w:color w:val="000000" w:themeColor="text1"/>
                <w:sz w:val="20"/>
                <w:szCs w:val="20"/>
              </w:rPr>
              <w:t>N</w:t>
            </w:r>
          </w:p>
        </w:tc>
        <w:tc>
          <w:tcPr>
            <w:tcW w:w="8505" w:type="dxa"/>
            <w:gridSpan w:val="2"/>
            <w:tcBorders>
              <w:top w:val="single" w:sz="8" w:space="0" w:color="FFFFFF"/>
              <w:left w:val="single" w:sz="8" w:space="0" w:color="FFFFFF"/>
              <w:bottom w:val="single" w:sz="24" w:space="0" w:color="FFFFFF"/>
              <w:right w:val="single" w:sz="8" w:space="0" w:color="FFFFFF"/>
            </w:tcBorders>
            <w:shd w:val="clear" w:color="auto" w:fill="BF0000"/>
            <w:tcMar>
              <w:top w:w="72" w:type="dxa"/>
              <w:left w:w="144" w:type="dxa"/>
              <w:bottom w:w="72" w:type="dxa"/>
              <w:right w:w="144" w:type="dxa"/>
            </w:tcMar>
            <w:hideMark/>
          </w:tcPr>
          <w:p w14:paraId="22D28026" w14:textId="77777777" w:rsidR="000F2DD1" w:rsidRPr="0051633C" w:rsidRDefault="000F2DD1" w:rsidP="00131F20">
            <w:pPr>
              <w:spacing w:before="100" w:beforeAutospacing="1" w:after="100" w:afterAutospacing="1"/>
              <w:rPr>
                <w:rFonts w:ascii="Aptos" w:hAnsi="Aptos"/>
                <w:color w:val="000000" w:themeColor="text1"/>
                <w:sz w:val="20"/>
                <w:szCs w:val="20"/>
              </w:rPr>
            </w:pPr>
            <w:r w:rsidRPr="0051633C">
              <w:rPr>
                <w:rFonts w:ascii="Aptos" w:hAnsi="Aptos"/>
                <w:b/>
                <w:bCs/>
                <w:color w:val="000000" w:themeColor="text1"/>
                <w:sz w:val="20"/>
                <w:szCs w:val="20"/>
              </w:rPr>
              <w:t>Comparison</w:t>
            </w:r>
          </w:p>
        </w:tc>
      </w:tr>
      <w:tr w:rsidR="000F2DD1" w:rsidRPr="0051633C" w14:paraId="470C903E" w14:textId="77777777" w:rsidTr="00C9140C">
        <w:trPr>
          <w:trHeight w:val="213"/>
        </w:trPr>
        <w:tc>
          <w:tcPr>
            <w:tcW w:w="557"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6B70EDFD" w14:textId="77777777" w:rsidR="000F2DD1" w:rsidRPr="0051633C" w:rsidRDefault="000F2DD1" w:rsidP="00131F20">
            <w:pPr>
              <w:spacing w:before="100" w:beforeAutospacing="1" w:after="100" w:afterAutospacing="1"/>
              <w:rPr>
                <w:rFonts w:ascii="Aptos" w:hAnsi="Aptos"/>
                <w:color w:val="000000" w:themeColor="text1"/>
                <w:sz w:val="20"/>
                <w:szCs w:val="20"/>
              </w:rPr>
            </w:pPr>
            <w:r w:rsidRPr="0051633C">
              <w:rPr>
                <w:rFonts w:ascii="Aptos" w:hAnsi="Aptos"/>
                <w:color w:val="000000" w:themeColor="text1"/>
                <w:sz w:val="20"/>
                <w:szCs w:val="20"/>
              </w:rPr>
              <w:t>1</w:t>
            </w:r>
          </w:p>
        </w:tc>
        <w:tc>
          <w:tcPr>
            <w:tcW w:w="5529"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66670163" w14:textId="6C8779BA" w:rsidR="000F2DD1" w:rsidRPr="0051633C" w:rsidRDefault="000F2DD1" w:rsidP="00131F20">
            <w:pPr>
              <w:spacing w:before="100" w:beforeAutospacing="1" w:after="100" w:afterAutospacing="1"/>
              <w:rPr>
                <w:rFonts w:ascii="Aptos" w:hAnsi="Aptos"/>
                <w:color w:val="000000" w:themeColor="text1"/>
                <w:sz w:val="20"/>
                <w:szCs w:val="20"/>
              </w:rPr>
            </w:pPr>
            <w:r w:rsidRPr="0051633C">
              <w:rPr>
                <w:rFonts w:ascii="Aptos" w:hAnsi="Aptos"/>
                <w:color w:val="000000" w:themeColor="text1"/>
                <w:sz w:val="20"/>
                <w:szCs w:val="20"/>
              </w:rPr>
              <w:t xml:space="preserve">Comparing different VOD </w:t>
            </w:r>
            <w:r w:rsidR="00774D9C" w:rsidRPr="00774D9C">
              <w:rPr>
                <w:rFonts w:ascii="Aptos" w:hAnsi="Aptos"/>
                <w:color w:val="000000" w:themeColor="text1"/>
                <w:sz w:val="20"/>
                <w:szCs w:val="20"/>
                <w:lang w:val="en-US"/>
              </w:rPr>
              <w:t>services</w:t>
            </w:r>
            <w:r w:rsidRPr="0051633C">
              <w:rPr>
                <w:rFonts w:ascii="Aptos" w:hAnsi="Aptos"/>
                <w:color w:val="000000" w:themeColor="text1"/>
                <w:sz w:val="20"/>
                <w:szCs w:val="20"/>
              </w:rPr>
              <w:t xml:space="preserve"> in the same market </w:t>
            </w:r>
          </w:p>
        </w:tc>
        <w:tc>
          <w:tcPr>
            <w:tcW w:w="2976"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18AD2FB9" w14:textId="77777777" w:rsidR="000F2DD1" w:rsidRPr="0051633C" w:rsidRDefault="000F2DD1" w:rsidP="00131F20">
            <w:pPr>
              <w:spacing w:before="100" w:beforeAutospacing="1" w:after="100" w:afterAutospacing="1"/>
              <w:rPr>
                <w:rFonts w:ascii="Aptos" w:hAnsi="Aptos"/>
                <w:color w:val="000000" w:themeColor="text1"/>
                <w:sz w:val="20"/>
                <w:szCs w:val="20"/>
              </w:rPr>
            </w:pPr>
            <w:r w:rsidRPr="0051633C">
              <w:rPr>
                <w:rFonts w:ascii="Aptos" w:hAnsi="Aptos"/>
                <w:color w:val="000000" w:themeColor="text1"/>
                <w:sz w:val="20"/>
                <w:szCs w:val="20"/>
                <w:lang w:val="en-GB"/>
              </w:rPr>
              <w:t>N</w:t>
            </w:r>
            <w:r w:rsidRPr="0051633C">
              <w:rPr>
                <w:rFonts w:ascii="Aptos" w:hAnsi="Aptos"/>
                <w:color w:val="000000" w:themeColor="text1"/>
                <w:sz w:val="20"/>
                <w:szCs w:val="20"/>
              </w:rPr>
              <w:t>-number of players included</w:t>
            </w:r>
          </w:p>
        </w:tc>
      </w:tr>
      <w:tr w:rsidR="000F2DD1" w:rsidRPr="0051633C" w14:paraId="1721E21F" w14:textId="77777777" w:rsidTr="00E14FB5">
        <w:trPr>
          <w:trHeight w:val="241"/>
        </w:trPr>
        <w:tc>
          <w:tcPr>
            <w:tcW w:w="557"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480671AA" w14:textId="77777777" w:rsidR="000F2DD1" w:rsidRPr="0051633C" w:rsidRDefault="000F2DD1" w:rsidP="00131F20">
            <w:pPr>
              <w:spacing w:before="100" w:beforeAutospacing="1" w:after="100" w:afterAutospacing="1"/>
              <w:rPr>
                <w:rFonts w:ascii="Aptos" w:hAnsi="Aptos"/>
                <w:color w:val="000000" w:themeColor="text1"/>
                <w:sz w:val="20"/>
                <w:szCs w:val="20"/>
              </w:rPr>
            </w:pPr>
            <w:r w:rsidRPr="0051633C">
              <w:rPr>
                <w:rFonts w:ascii="Aptos" w:hAnsi="Aptos"/>
                <w:color w:val="000000" w:themeColor="text1"/>
                <w:sz w:val="20"/>
                <w:szCs w:val="20"/>
              </w:rPr>
              <w:t>2</w:t>
            </w:r>
          </w:p>
        </w:tc>
        <w:tc>
          <w:tcPr>
            <w:tcW w:w="5529"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3A436A1D" w14:textId="6BE7FC44" w:rsidR="000F2DD1" w:rsidRPr="0051633C" w:rsidRDefault="000F2DD1" w:rsidP="00131F20">
            <w:pPr>
              <w:spacing w:before="100" w:beforeAutospacing="1" w:after="100" w:afterAutospacing="1"/>
              <w:rPr>
                <w:rFonts w:ascii="Aptos" w:hAnsi="Aptos"/>
                <w:color w:val="000000" w:themeColor="text1"/>
                <w:sz w:val="20"/>
                <w:szCs w:val="20"/>
              </w:rPr>
            </w:pPr>
            <w:r w:rsidRPr="0051633C">
              <w:rPr>
                <w:rFonts w:ascii="Aptos" w:hAnsi="Aptos"/>
                <w:color w:val="000000" w:themeColor="text1"/>
                <w:sz w:val="20"/>
                <w:szCs w:val="20"/>
              </w:rPr>
              <w:t xml:space="preserve">Comparing same </w:t>
            </w:r>
            <w:r w:rsidR="00774D9C" w:rsidRPr="00774D9C">
              <w:rPr>
                <w:rFonts w:ascii="Aptos" w:hAnsi="Aptos"/>
                <w:color w:val="000000" w:themeColor="text1"/>
                <w:sz w:val="20"/>
                <w:szCs w:val="20"/>
                <w:lang w:val="en-US"/>
              </w:rPr>
              <w:t>services</w:t>
            </w:r>
            <w:r w:rsidRPr="0051633C">
              <w:rPr>
                <w:rFonts w:ascii="Aptos" w:hAnsi="Aptos"/>
                <w:color w:val="000000" w:themeColor="text1"/>
                <w:sz w:val="20"/>
                <w:szCs w:val="20"/>
              </w:rPr>
              <w:t xml:space="preserve"> in different markets</w:t>
            </w:r>
          </w:p>
        </w:tc>
        <w:tc>
          <w:tcPr>
            <w:tcW w:w="2976"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474AAED4" w14:textId="77777777" w:rsidR="000F2DD1" w:rsidRPr="0051633C" w:rsidRDefault="000F2DD1" w:rsidP="00131F20">
            <w:pPr>
              <w:spacing w:before="100" w:beforeAutospacing="1" w:after="100" w:afterAutospacing="1"/>
              <w:rPr>
                <w:rFonts w:ascii="Aptos" w:hAnsi="Aptos"/>
                <w:color w:val="000000" w:themeColor="text1"/>
                <w:sz w:val="20"/>
                <w:szCs w:val="20"/>
              </w:rPr>
            </w:pPr>
            <w:r w:rsidRPr="0051633C">
              <w:rPr>
                <w:rFonts w:ascii="Aptos" w:hAnsi="Aptos"/>
                <w:color w:val="000000" w:themeColor="text1"/>
                <w:sz w:val="20"/>
                <w:szCs w:val="20"/>
              </w:rPr>
              <w:t>N-number of markets included</w:t>
            </w:r>
          </w:p>
        </w:tc>
      </w:tr>
      <w:tr w:rsidR="000F2DD1" w:rsidRPr="0051633C" w14:paraId="45AC1ACE" w14:textId="77777777" w:rsidTr="00E14FB5">
        <w:trPr>
          <w:trHeight w:val="277"/>
        </w:trPr>
        <w:tc>
          <w:tcPr>
            <w:tcW w:w="557"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09EC7058" w14:textId="77777777" w:rsidR="000F2DD1" w:rsidRPr="0051633C" w:rsidRDefault="000F2DD1" w:rsidP="00131F20">
            <w:pPr>
              <w:spacing w:before="100" w:beforeAutospacing="1" w:after="100" w:afterAutospacing="1"/>
              <w:rPr>
                <w:rFonts w:ascii="Aptos" w:hAnsi="Aptos"/>
                <w:color w:val="000000" w:themeColor="text1"/>
                <w:sz w:val="20"/>
                <w:szCs w:val="20"/>
              </w:rPr>
            </w:pPr>
            <w:r w:rsidRPr="0051633C">
              <w:rPr>
                <w:rFonts w:ascii="Aptos" w:hAnsi="Aptos"/>
                <w:color w:val="000000" w:themeColor="text1"/>
                <w:sz w:val="20"/>
                <w:szCs w:val="20"/>
              </w:rPr>
              <w:t>3</w:t>
            </w:r>
          </w:p>
        </w:tc>
        <w:tc>
          <w:tcPr>
            <w:tcW w:w="5529"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4E9E9278" w14:textId="477D16BD" w:rsidR="000F2DD1" w:rsidRPr="0051633C" w:rsidRDefault="000F2DD1" w:rsidP="00131F20">
            <w:pPr>
              <w:spacing w:before="100" w:beforeAutospacing="1" w:after="100" w:afterAutospacing="1"/>
              <w:rPr>
                <w:rFonts w:ascii="Aptos" w:hAnsi="Aptos"/>
                <w:color w:val="000000" w:themeColor="text1"/>
                <w:sz w:val="20"/>
                <w:szCs w:val="20"/>
              </w:rPr>
            </w:pPr>
            <w:r w:rsidRPr="0051633C">
              <w:rPr>
                <w:rFonts w:ascii="Aptos" w:hAnsi="Aptos"/>
                <w:color w:val="000000" w:themeColor="text1"/>
                <w:sz w:val="20"/>
                <w:szCs w:val="20"/>
              </w:rPr>
              <w:t xml:space="preserve">Comparing the same VOD </w:t>
            </w:r>
            <w:r w:rsidR="00774D9C" w:rsidRPr="00774D9C">
              <w:rPr>
                <w:rFonts w:ascii="Aptos" w:hAnsi="Aptos"/>
                <w:color w:val="000000" w:themeColor="text1"/>
                <w:sz w:val="20"/>
                <w:szCs w:val="20"/>
                <w:lang w:val="en-US"/>
              </w:rPr>
              <w:t>catalogs</w:t>
            </w:r>
            <w:r w:rsidRPr="0051633C">
              <w:rPr>
                <w:rFonts w:ascii="Aptos" w:hAnsi="Aptos"/>
                <w:color w:val="000000" w:themeColor="text1"/>
                <w:sz w:val="20"/>
                <w:szCs w:val="20"/>
              </w:rPr>
              <w:t xml:space="preserve"> at different moments in time</w:t>
            </w:r>
          </w:p>
        </w:tc>
        <w:tc>
          <w:tcPr>
            <w:tcW w:w="2976"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3465EFC5" w14:textId="77777777" w:rsidR="000F2DD1" w:rsidRPr="0051633C" w:rsidRDefault="000F2DD1" w:rsidP="00131F20">
            <w:pPr>
              <w:spacing w:before="100" w:beforeAutospacing="1" w:after="100" w:afterAutospacing="1"/>
              <w:rPr>
                <w:rFonts w:ascii="Aptos" w:hAnsi="Aptos"/>
                <w:color w:val="000000" w:themeColor="text1"/>
                <w:sz w:val="20"/>
                <w:szCs w:val="20"/>
              </w:rPr>
            </w:pPr>
            <w:r w:rsidRPr="0051633C">
              <w:rPr>
                <w:rFonts w:ascii="Aptos" w:hAnsi="Aptos"/>
                <w:color w:val="000000" w:themeColor="text1"/>
                <w:sz w:val="20"/>
                <w:szCs w:val="20"/>
              </w:rPr>
              <w:t>N-number of moments in time when the analysis is made</w:t>
            </w:r>
          </w:p>
        </w:tc>
      </w:tr>
    </w:tbl>
    <w:p w14:paraId="6BB2C06E" w14:textId="7AF83608" w:rsidR="002124DE" w:rsidRDefault="00115324" w:rsidP="004562A4">
      <w:pPr>
        <w:spacing w:before="100" w:beforeAutospacing="1" w:after="100" w:afterAutospacing="1"/>
        <w:rPr>
          <w:rFonts w:ascii="Aptos" w:hAnsi="Aptos"/>
          <w:color w:val="000000" w:themeColor="text1"/>
          <w:sz w:val="22"/>
          <w:szCs w:val="22"/>
          <w:lang w:val="en-US"/>
        </w:rPr>
      </w:pPr>
      <w:r>
        <w:rPr>
          <w:rFonts w:ascii="Aptos" w:hAnsi="Aptos"/>
          <w:color w:val="000000" w:themeColor="text1"/>
          <w:sz w:val="22"/>
          <w:szCs w:val="22"/>
          <w:lang w:val="en-US"/>
        </w:rPr>
        <w:t xml:space="preserve">The </w:t>
      </w:r>
      <w:r w:rsidR="000F2DD1">
        <w:rPr>
          <w:rFonts w:ascii="Aptos" w:hAnsi="Aptos"/>
          <w:color w:val="000000" w:themeColor="text1"/>
          <w:sz w:val="22"/>
          <w:szCs w:val="22"/>
          <w:lang w:val="en-US"/>
        </w:rPr>
        <w:t>second</w:t>
      </w:r>
      <w:r>
        <w:rPr>
          <w:rFonts w:ascii="Aptos" w:hAnsi="Aptos"/>
          <w:color w:val="000000" w:themeColor="text1"/>
          <w:sz w:val="22"/>
          <w:szCs w:val="22"/>
          <w:lang w:val="en-US"/>
        </w:rPr>
        <w:t xml:space="preserve"> </w:t>
      </w:r>
      <w:r w:rsidR="000F2DD1">
        <w:rPr>
          <w:rFonts w:ascii="Aptos" w:hAnsi="Aptos"/>
          <w:color w:val="000000" w:themeColor="text1"/>
          <w:sz w:val="22"/>
          <w:szCs w:val="22"/>
          <w:lang w:val="en-US"/>
        </w:rPr>
        <w:t>series of considerations involves</w:t>
      </w:r>
      <w:r w:rsidR="002124DE">
        <w:rPr>
          <w:rFonts w:ascii="Aptos" w:hAnsi="Aptos"/>
          <w:color w:val="000000" w:themeColor="text1"/>
          <w:sz w:val="22"/>
          <w:szCs w:val="22"/>
          <w:lang w:val="en-US"/>
        </w:rPr>
        <w:t xml:space="preserve"> the ‘type’ of prominence that the research focuses on.</w:t>
      </w:r>
      <w:r w:rsidR="000F2DD1">
        <w:rPr>
          <w:rFonts w:ascii="Aptos" w:hAnsi="Aptos"/>
          <w:color w:val="000000" w:themeColor="text1"/>
          <w:sz w:val="22"/>
          <w:szCs w:val="22"/>
          <w:lang w:val="en-US"/>
        </w:rPr>
        <w:t xml:space="preserve"> Here a selection of one or more research foci could be pursued. </w:t>
      </w:r>
    </w:p>
    <w:tbl>
      <w:tblPr>
        <w:tblW w:w="8903" w:type="dxa"/>
        <w:tblCellMar>
          <w:left w:w="0" w:type="dxa"/>
          <w:right w:w="0" w:type="dxa"/>
        </w:tblCellMar>
        <w:tblLook w:val="0420" w:firstRow="1" w:lastRow="0" w:firstColumn="0" w:lastColumn="0" w:noHBand="0" w:noVBand="1"/>
      </w:tblPr>
      <w:tblGrid>
        <w:gridCol w:w="512"/>
        <w:gridCol w:w="2277"/>
        <w:gridCol w:w="6114"/>
      </w:tblGrid>
      <w:tr w:rsidR="002124DE" w:rsidRPr="002124DE" w14:paraId="1BF75212" w14:textId="77777777" w:rsidTr="002124DE">
        <w:trPr>
          <w:trHeight w:val="179"/>
        </w:trPr>
        <w:tc>
          <w:tcPr>
            <w:tcW w:w="512" w:type="dxa"/>
            <w:tcBorders>
              <w:top w:val="single" w:sz="8" w:space="0" w:color="FFFFFF"/>
              <w:left w:val="single" w:sz="8" w:space="0" w:color="FFFFFF"/>
              <w:bottom w:val="single" w:sz="24" w:space="0" w:color="FFFFFF"/>
              <w:right w:val="single" w:sz="8" w:space="0" w:color="FFFFFF"/>
            </w:tcBorders>
            <w:shd w:val="clear" w:color="auto" w:fill="BF0000"/>
            <w:tcMar>
              <w:top w:w="72" w:type="dxa"/>
              <w:left w:w="144" w:type="dxa"/>
              <w:bottom w:w="72" w:type="dxa"/>
              <w:right w:w="144" w:type="dxa"/>
            </w:tcMar>
            <w:hideMark/>
          </w:tcPr>
          <w:p w14:paraId="28626637" w14:textId="1AA2BF34" w:rsidR="002124DE" w:rsidRPr="002124DE" w:rsidRDefault="002124DE" w:rsidP="002124DE">
            <w:pPr>
              <w:rPr>
                <w:rFonts w:ascii="Aptos" w:hAnsi="Aptos"/>
                <w:color w:val="000000" w:themeColor="text1"/>
                <w:sz w:val="20"/>
                <w:szCs w:val="20"/>
                <w:lang w:val="nl-NL"/>
              </w:rPr>
            </w:pPr>
            <w:r w:rsidRPr="002124DE">
              <w:rPr>
                <w:rFonts w:ascii="Aptos" w:hAnsi="Aptos"/>
                <w:b/>
                <w:bCs/>
                <w:color w:val="000000" w:themeColor="text1"/>
                <w:sz w:val="20"/>
                <w:szCs w:val="20"/>
                <w:lang w:val="nl-NL"/>
              </w:rPr>
              <w:t>F</w:t>
            </w:r>
          </w:p>
        </w:tc>
        <w:tc>
          <w:tcPr>
            <w:tcW w:w="2277" w:type="dxa"/>
            <w:tcBorders>
              <w:top w:val="single" w:sz="8" w:space="0" w:color="FFFFFF"/>
              <w:left w:val="single" w:sz="8" w:space="0" w:color="FFFFFF"/>
              <w:bottom w:val="single" w:sz="24" w:space="0" w:color="FFFFFF"/>
              <w:right w:val="single" w:sz="8" w:space="0" w:color="FFFFFF"/>
            </w:tcBorders>
            <w:shd w:val="clear" w:color="auto" w:fill="BF0000"/>
            <w:tcMar>
              <w:top w:w="72" w:type="dxa"/>
              <w:left w:w="144" w:type="dxa"/>
              <w:bottom w:w="72" w:type="dxa"/>
              <w:right w:w="144" w:type="dxa"/>
            </w:tcMar>
            <w:hideMark/>
          </w:tcPr>
          <w:p w14:paraId="61F824EB" w14:textId="79723B87" w:rsidR="002124DE" w:rsidRPr="002124DE" w:rsidRDefault="002124DE" w:rsidP="002124DE">
            <w:pPr>
              <w:rPr>
                <w:rFonts w:ascii="Aptos" w:hAnsi="Aptos"/>
                <w:b/>
                <w:bCs/>
                <w:color w:val="000000" w:themeColor="text1"/>
                <w:sz w:val="20"/>
                <w:szCs w:val="20"/>
              </w:rPr>
            </w:pPr>
            <w:r w:rsidRPr="002124DE">
              <w:rPr>
                <w:rFonts w:ascii="Aptos" w:hAnsi="Aptos"/>
                <w:b/>
                <w:bCs/>
                <w:color w:val="000000" w:themeColor="text1"/>
                <w:sz w:val="20"/>
                <w:szCs w:val="20"/>
              </w:rPr>
              <w:t>Research focus</w:t>
            </w:r>
          </w:p>
        </w:tc>
        <w:tc>
          <w:tcPr>
            <w:tcW w:w="6114" w:type="dxa"/>
            <w:tcBorders>
              <w:top w:val="single" w:sz="8" w:space="0" w:color="FFFFFF"/>
              <w:left w:val="single" w:sz="8" w:space="0" w:color="FFFFFF"/>
              <w:bottom w:val="single" w:sz="24" w:space="0" w:color="FFFFFF"/>
              <w:right w:val="single" w:sz="8" w:space="0" w:color="FFFFFF"/>
            </w:tcBorders>
            <w:shd w:val="clear" w:color="auto" w:fill="BF0000"/>
            <w:tcMar>
              <w:top w:w="72" w:type="dxa"/>
              <w:left w:w="144" w:type="dxa"/>
              <w:bottom w:w="72" w:type="dxa"/>
              <w:right w:w="144" w:type="dxa"/>
            </w:tcMar>
            <w:hideMark/>
          </w:tcPr>
          <w:p w14:paraId="07AD3C84" w14:textId="77777777" w:rsidR="002124DE" w:rsidRPr="002124DE" w:rsidRDefault="002124DE" w:rsidP="002124DE">
            <w:pPr>
              <w:rPr>
                <w:rFonts w:ascii="Aptos" w:hAnsi="Aptos"/>
                <w:color w:val="000000" w:themeColor="text1"/>
                <w:sz w:val="20"/>
                <w:szCs w:val="20"/>
              </w:rPr>
            </w:pPr>
            <w:r w:rsidRPr="002124DE">
              <w:rPr>
                <w:rFonts w:ascii="Aptos" w:hAnsi="Aptos"/>
                <w:b/>
                <w:bCs/>
                <w:color w:val="000000" w:themeColor="text1"/>
                <w:sz w:val="20"/>
                <w:szCs w:val="20"/>
                <w:lang w:val="en-GB"/>
              </w:rPr>
              <w:t>E</w:t>
            </w:r>
            <w:r w:rsidRPr="002124DE">
              <w:rPr>
                <w:rFonts w:ascii="Aptos" w:hAnsi="Aptos"/>
                <w:b/>
                <w:bCs/>
                <w:color w:val="000000" w:themeColor="text1"/>
                <w:sz w:val="20"/>
                <w:szCs w:val="20"/>
              </w:rPr>
              <w:t>xplanation</w:t>
            </w:r>
          </w:p>
        </w:tc>
      </w:tr>
      <w:tr w:rsidR="002124DE" w:rsidRPr="002124DE" w14:paraId="14ED37D9" w14:textId="77777777" w:rsidTr="002124DE">
        <w:trPr>
          <w:trHeight w:val="183"/>
        </w:trPr>
        <w:tc>
          <w:tcPr>
            <w:tcW w:w="512"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7A144644"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1</w:t>
            </w:r>
          </w:p>
        </w:tc>
        <w:tc>
          <w:tcPr>
            <w:tcW w:w="2277"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76D894B6"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lang w:val="en-GB"/>
              </w:rPr>
              <w:t>P</w:t>
            </w:r>
            <w:r w:rsidRPr="002124DE">
              <w:rPr>
                <w:rFonts w:ascii="Aptos" w:hAnsi="Aptos"/>
                <w:color w:val="000000" w:themeColor="text1"/>
                <w:sz w:val="20"/>
                <w:szCs w:val="20"/>
              </w:rPr>
              <w:t>aratext</w:t>
            </w:r>
          </w:p>
        </w:tc>
        <w:tc>
          <w:tcPr>
            <w:tcW w:w="6114"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6DCE0D9D" w14:textId="4B89D4D1"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lang w:val="en-US"/>
              </w:rPr>
              <w:t>A</w:t>
            </w:r>
            <w:r w:rsidRPr="002124DE">
              <w:rPr>
                <w:rFonts w:ascii="Aptos" w:hAnsi="Aptos"/>
                <w:color w:val="000000" w:themeColor="text1"/>
                <w:sz w:val="20"/>
                <w:szCs w:val="20"/>
              </w:rPr>
              <w:t>nalysis of paratext (eg. are ad campaigns including EU titles)</w:t>
            </w:r>
          </w:p>
        </w:tc>
      </w:tr>
      <w:tr w:rsidR="002124DE" w:rsidRPr="002124DE" w14:paraId="25F2221E" w14:textId="77777777" w:rsidTr="002124DE">
        <w:trPr>
          <w:trHeight w:val="281"/>
        </w:trPr>
        <w:tc>
          <w:tcPr>
            <w:tcW w:w="512"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6B844464"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2</w:t>
            </w:r>
          </w:p>
        </w:tc>
        <w:tc>
          <w:tcPr>
            <w:tcW w:w="2277"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4C4091E2"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Search</w:t>
            </w:r>
          </w:p>
        </w:tc>
        <w:tc>
          <w:tcPr>
            <w:tcW w:w="6114"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6429781F"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Analyzing how the search function works, how much metadata is added</w:t>
            </w:r>
          </w:p>
        </w:tc>
      </w:tr>
      <w:tr w:rsidR="002124DE" w:rsidRPr="002124DE" w14:paraId="30E04C3E" w14:textId="77777777" w:rsidTr="002124DE">
        <w:trPr>
          <w:trHeight w:val="279"/>
        </w:trPr>
        <w:tc>
          <w:tcPr>
            <w:tcW w:w="512"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55139F1B"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3</w:t>
            </w:r>
          </w:p>
        </w:tc>
        <w:tc>
          <w:tcPr>
            <w:tcW w:w="2277"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6CCBB037"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Categorization</w:t>
            </w:r>
          </w:p>
        </w:tc>
        <w:tc>
          <w:tcPr>
            <w:tcW w:w="6114"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5D340CEA" w14:textId="229F1232"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Analyzing the way specific (</w:t>
            </w:r>
            <w:proofErr w:type="spellStart"/>
            <w:r w:rsidRPr="002124DE">
              <w:rPr>
                <w:rFonts w:ascii="Aptos" w:hAnsi="Aptos"/>
                <w:color w:val="000000" w:themeColor="text1"/>
                <w:sz w:val="20"/>
                <w:szCs w:val="20"/>
                <w:lang w:val="en-US"/>
              </w:rPr>
              <w:t>e</w:t>
            </w:r>
            <w:r>
              <w:rPr>
                <w:rFonts w:ascii="Aptos" w:hAnsi="Aptos"/>
                <w:color w:val="000000" w:themeColor="text1"/>
                <w:sz w:val="20"/>
                <w:szCs w:val="20"/>
                <w:lang w:val="en-US"/>
              </w:rPr>
              <w:t>g.</w:t>
            </w:r>
            <w:proofErr w:type="spellEnd"/>
            <w:r>
              <w:rPr>
                <w:rFonts w:ascii="Aptos" w:hAnsi="Aptos"/>
                <w:color w:val="000000" w:themeColor="text1"/>
                <w:sz w:val="20"/>
                <w:szCs w:val="20"/>
                <w:lang w:val="en-US"/>
              </w:rPr>
              <w:t xml:space="preserve"> </w:t>
            </w:r>
            <w:r w:rsidRPr="002124DE">
              <w:rPr>
                <w:rFonts w:ascii="Aptos" w:hAnsi="Aptos"/>
                <w:color w:val="000000" w:themeColor="text1"/>
                <w:sz w:val="20"/>
                <w:szCs w:val="20"/>
              </w:rPr>
              <w:t>EU or domestic) content is labeled in categories and collections</w:t>
            </w:r>
          </w:p>
        </w:tc>
      </w:tr>
      <w:tr w:rsidR="002124DE" w:rsidRPr="002124DE" w14:paraId="40CC076D" w14:textId="77777777" w:rsidTr="002124DE">
        <w:trPr>
          <w:trHeight w:val="434"/>
        </w:trPr>
        <w:tc>
          <w:tcPr>
            <w:tcW w:w="512"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27D9BB32"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4</w:t>
            </w:r>
          </w:p>
        </w:tc>
        <w:tc>
          <w:tcPr>
            <w:tcW w:w="2277"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66EF2A61" w14:textId="2D2A6189"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lang w:val="en-GB"/>
              </w:rPr>
              <w:t xml:space="preserve">Full </w:t>
            </w:r>
            <w:proofErr w:type="spellStart"/>
            <w:r w:rsidR="00611F82">
              <w:rPr>
                <w:rFonts w:ascii="Aptos" w:hAnsi="Aptos"/>
                <w:color w:val="000000" w:themeColor="text1"/>
                <w:sz w:val="20"/>
                <w:szCs w:val="20"/>
                <w:lang w:val="en-GB"/>
              </w:rPr>
              <w:t>catalog</w:t>
            </w:r>
            <w:proofErr w:type="spellEnd"/>
            <w:r w:rsidRPr="002124DE">
              <w:rPr>
                <w:rFonts w:ascii="Aptos" w:hAnsi="Aptos"/>
                <w:color w:val="000000" w:themeColor="text1"/>
                <w:sz w:val="20"/>
                <w:szCs w:val="20"/>
              </w:rPr>
              <w:t xml:space="preserve"> visibility</w:t>
            </w:r>
          </w:p>
        </w:tc>
        <w:tc>
          <w:tcPr>
            <w:tcW w:w="6114"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0039B471"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Analyzing volumes of all EU or local titles visible in tiles</w:t>
            </w:r>
          </w:p>
        </w:tc>
      </w:tr>
      <w:tr w:rsidR="002124DE" w:rsidRPr="002124DE" w14:paraId="5E425738" w14:textId="77777777" w:rsidTr="002124DE">
        <w:trPr>
          <w:trHeight w:val="282"/>
        </w:trPr>
        <w:tc>
          <w:tcPr>
            <w:tcW w:w="512"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6E45B929"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5</w:t>
            </w:r>
          </w:p>
        </w:tc>
        <w:tc>
          <w:tcPr>
            <w:tcW w:w="2277"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03DD5CF3" w14:textId="7F4027E2" w:rsidR="002124DE" w:rsidRPr="002124DE" w:rsidRDefault="00611F82" w:rsidP="002124DE">
            <w:pPr>
              <w:rPr>
                <w:rFonts w:ascii="Aptos" w:hAnsi="Aptos"/>
                <w:color w:val="000000" w:themeColor="text1"/>
                <w:sz w:val="20"/>
                <w:szCs w:val="20"/>
              </w:rPr>
            </w:pPr>
            <w:proofErr w:type="spellStart"/>
            <w:r>
              <w:rPr>
                <w:rFonts w:ascii="Aptos" w:hAnsi="Aptos"/>
                <w:color w:val="000000" w:themeColor="text1"/>
                <w:sz w:val="20"/>
                <w:szCs w:val="20"/>
                <w:lang w:val="nl-NL"/>
              </w:rPr>
              <w:t>Catalog</w:t>
            </w:r>
            <w:proofErr w:type="spellEnd"/>
            <w:r w:rsidR="002124DE" w:rsidRPr="002124DE">
              <w:rPr>
                <w:rFonts w:ascii="Aptos" w:hAnsi="Aptos"/>
                <w:color w:val="000000" w:themeColor="text1"/>
                <w:sz w:val="20"/>
                <w:szCs w:val="20"/>
              </w:rPr>
              <w:t xml:space="preserve"> position Visibility </w:t>
            </w:r>
          </w:p>
        </w:tc>
        <w:tc>
          <w:tcPr>
            <w:tcW w:w="6114"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5E437DEA"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 xml:space="preserve">Analyzing prominence according to the position where it is visible </w:t>
            </w:r>
          </w:p>
        </w:tc>
      </w:tr>
      <w:tr w:rsidR="002124DE" w:rsidRPr="002124DE" w14:paraId="2E1CED8A" w14:textId="77777777" w:rsidTr="002124DE">
        <w:trPr>
          <w:trHeight w:val="207"/>
        </w:trPr>
        <w:tc>
          <w:tcPr>
            <w:tcW w:w="512"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3218D7AF"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6</w:t>
            </w:r>
          </w:p>
        </w:tc>
        <w:tc>
          <w:tcPr>
            <w:tcW w:w="2277"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7E173454" w14:textId="60111A8C" w:rsidR="002124DE" w:rsidRPr="002124DE" w:rsidRDefault="000F2DD1" w:rsidP="002124DE">
            <w:pPr>
              <w:rPr>
                <w:rFonts w:ascii="Aptos" w:hAnsi="Aptos"/>
                <w:color w:val="000000" w:themeColor="text1"/>
                <w:sz w:val="20"/>
                <w:szCs w:val="20"/>
              </w:rPr>
            </w:pPr>
            <w:r>
              <w:rPr>
                <w:rFonts w:ascii="Aptos" w:hAnsi="Aptos"/>
                <w:color w:val="000000" w:themeColor="text1"/>
                <w:sz w:val="20"/>
                <w:szCs w:val="20"/>
                <w:lang w:val="en-GB"/>
              </w:rPr>
              <w:t xml:space="preserve">Title position </w:t>
            </w:r>
            <w:proofErr w:type="spellStart"/>
            <w:r>
              <w:rPr>
                <w:rFonts w:ascii="Aptos" w:hAnsi="Aptos"/>
                <w:color w:val="000000" w:themeColor="text1"/>
                <w:sz w:val="20"/>
                <w:szCs w:val="20"/>
                <w:lang w:val="en-GB"/>
              </w:rPr>
              <w:t>visiblility</w:t>
            </w:r>
            <w:proofErr w:type="spellEnd"/>
          </w:p>
        </w:tc>
        <w:tc>
          <w:tcPr>
            <w:tcW w:w="6114"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5B3F7FF6" w14:textId="2B9A51A6" w:rsidR="002124DE" w:rsidRPr="002124DE" w:rsidRDefault="000F2DD1" w:rsidP="002124DE">
            <w:pPr>
              <w:rPr>
                <w:rFonts w:ascii="Aptos" w:hAnsi="Aptos"/>
                <w:color w:val="000000" w:themeColor="text1"/>
                <w:sz w:val="20"/>
                <w:szCs w:val="20"/>
                <w:lang w:val="en-US"/>
              </w:rPr>
            </w:pPr>
            <w:r w:rsidRPr="000F2DD1">
              <w:rPr>
                <w:rFonts w:ascii="Aptos" w:hAnsi="Aptos"/>
                <w:color w:val="000000" w:themeColor="text1"/>
                <w:sz w:val="20"/>
                <w:szCs w:val="20"/>
                <w:lang w:val="en-US"/>
              </w:rPr>
              <w:t>Searching for visibility of specific titles</w:t>
            </w:r>
            <w:r>
              <w:rPr>
                <w:rFonts w:ascii="Aptos" w:hAnsi="Aptos"/>
                <w:color w:val="000000" w:themeColor="text1"/>
                <w:sz w:val="20"/>
                <w:szCs w:val="20"/>
                <w:lang w:val="en-US"/>
              </w:rPr>
              <w:t>, either based on a selection of titles, or linked to specific factors (</w:t>
            </w:r>
            <w:proofErr w:type="gramStart"/>
            <w:r w:rsidR="00770AC1">
              <w:rPr>
                <w:rFonts w:ascii="Aptos" w:hAnsi="Aptos"/>
                <w:color w:val="000000" w:themeColor="text1"/>
                <w:sz w:val="20"/>
                <w:szCs w:val="20"/>
                <w:lang w:val="en-US"/>
              </w:rPr>
              <w:t>e.g.</w:t>
            </w:r>
            <w:proofErr w:type="gramEnd"/>
            <w:r w:rsidR="00770AC1">
              <w:rPr>
                <w:rFonts w:ascii="Aptos" w:hAnsi="Aptos"/>
                <w:color w:val="000000" w:themeColor="text1"/>
                <w:sz w:val="20"/>
                <w:szCs w:val="20"/>
                <w:lang w:val="en-US"/>
              </w:rPr>
              <w:t xml:space="preserve"> titles released in a specific period, titles added in the catalogue at a specific time, etc.)</w:t>
            </w:r>
            <w:r>
              <w:rPr>
                <w:rFonts w:ascii="Aptos" w:hAnsi="Aptos"/>
                <w:color w:val="000000" w:themeColor="text1"/>
                <w:sz w:val="20"/>
                <w:szCs w:val="20"/>
                <w:lang w:val="en-US"/>
              </w:rPr>
              <w:t xml:space="preserve"> </w:t>
            </w:r>
          </w:p>
        </w:tc>
      </w:tr>
      <w:tr w:rsidR="002124DE" w:rsidRPr="002124DE" w14:paraId="68E6D42B" w14:textId="77777777" w:rsidTr="002124DE">
        <w:trPr>
          <w:trHeight w:val="285"/>
        </w:trPr>
        <w:tc>
          <w:tcPr>
            <w:tcW w:w="512"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26D19390"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 xml:space="preserve">7. </w:t>
            </w:r>
          </w:p>
        </w:tc>
        <w:tc>
          <w:tcPr>
            <w:tcW w:w="2277"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5116B947" w14:textId="77777777" w:rsidR="002124DE" w:rsidRPr="002124DE" w:rsidRDefault="002124DE" w:rsidP="002124DE">
            <w:pPr>
              <w:rPr>
                <w:rFonts w:ascii="Aptos" w:hAnsi="Aptos"/>
                <w:color w:val="000000" w:themeColor="text1"/>
                <w:sz w:val="20"/>
                <w:szCs w:val="20"/>
              </w:rPr>
            </w:pPr>
            <w:r w:rsidRPr="002124DE">
              <w:rPr>
                <w:rFonts w:ascii="Aptos" w:hAnsi="Aptos"/>
                <w:color w:val="000000" w:themeColor="text1"/>
                <w:sz w:val="20"/>
                <w:szCs w:val="20"/>
              </w:rPr>
              <w:t>Autoplay prominence</w:t>
            </w:r>
          </w:p>
        </w:tc>
        <w:tc>
          <w:tcPr>
            <w:tcW w:w="6114"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6FCEBAF2" w14:textId="7A3D6279" w:rsidR="002124DE" w:rsidRPr="002124DE" w:rsidRDefault="002124DE" w:rsidP="002124DE">
            <w:pPr>
              <w:rPr>
                <w:rFonts w:ascii="Aptos" w:hAnsi="Aptos"/>
                <w:color w:val="000000" w:themeColor="text1"/>
                <w:sz w:val="20"/>
                <w:szCs w:val="20"/>
                <w:lang w:val="en-US"/>
              </w:rPr>
            </w:pPr>
            <w:r w:rsidRPr="002124DE">
              <w:rPr>
                <w:rFonts w:ascii="Aptos" w:hAnsi="Aptos"/>
                <w:color w:val="000000" w:themeColor="text1"/>
                <w:sz w:val="20"/>
                <w:szCs w:val="20"/>
              </w:rPr>
              <w:t>Analyzing how the title is presented in the thumbnail and trailer</w:t>
            </w:r>
          </w:p>
        </w:tc>
      </w:tr>
      <w:tr w:rsidR="000F2DD1" w:rsidRPr="002124DE" w14:paraId="38B5897F" w14:textId="77777777" w:rsidTr="00131F20">
        <w:trPr>
          <w:trHeight w:val="207"/>
        </w:trPr>
        <w:tc>
          <w:tcPr>
            <w:tcW w:w="512"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549E8FB4" w14:textId="7B9C9AB8" w:rsidR="000F2DD1" w:rsidRPr="002124DE" w:rsidRDefault="000F2DD1" w:rsidP="00131F20">
            <w:pPr>
              <w:rPr>
                <w:rFonts w:ascii="Aptos" w:hAnsi="Aptos"/>
                <w:color w:val="000000" w:themeColor="text1"/>
                <w:sz w:val="20"/>
                <w:szCs w:val="20"/>
                <w:lang w:val="nl-NL"/>
              </w:rPr>
            </w:pPr>
            <w:r>
              <w:rPr>
                <w:rFonts w:ascii="Aptos" w:hAnsi="Aptos"/>
                <w:color w:val="000000" w:themeColor="text1"/>
                <w:sz w:val="20"/>
                <w:szCs w:val="20"/>
                <w:lang w:val="nl-NL"/>
              </w:rPr>
              <w:t>8.</w:t>
            </w:r>
          </w:p>
        </w:tc>
        <w:tc>
          <w:tcPr>
            <w:tcW w:w="2277"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61FBC973" w14:textId="77777777" w:rsidR="000F2DD1" w:rsidRPr="002124DE" w:rsidRDefault="000F2DD1" w:rsidP="00131F20">
            <w:pPr>
              <w:rPr>
                <w:rFonts w:ascii="Aptos" w:hAnsi="Aptos"/>
                <w:color w:val="000000" w:themeColor="text1"/>
                <w:sz w:val="20"/>
                <w:szCs w:val="20"/>
              </w:rPr>
            </w:pPr>
            <w:r w:rsidRPr="002124DE">
              <w:rPr>
                <w:rFonts w:ascii="Aptos" w:hAnsi="Aptos"/>
                <w:color w:val="000000" w:themeColor="text1"/>
                <w:sz w:val="20"/>
                <w:szCs w:val="20"/>
                <w:lang w:val="en-GB"/>
              </w:rPr>
              <w:t>T</w:t>
            </w:r>
            <w:r w:rsidRPr="002124DE">
              <w:rPr>
                <w:rFonts w:ascii="Aptos" w:hAnsi="Aptos"/>
                <w:color w:val="000000" w:themeColor="text1"/>
                <w:sz w:val="20"/>
                <w:szCs w:val="20"/>
              </w:rPr>
              <w:t>ile presentation analysis</w:t>
            </w:r>
          </w:p>
        </w:tc>
        <w:tc>
          <w:tcPr>
            <w:tcW w:w="6114"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136C318C" w14:textId="77777777" w:rsidR="000F2DD1" w:rsidRPr="002124DE" w:rsidRDefault="000F2DD1" w:rsidP="00131F20">
            <w:pPr>
              <w:rPr>
                <w:rFonts w:ascii="Aptos" w:hAnsi="Aptos"/>
                <w:color w:val="000000" w:themeColor="text1"/>
                <w:sz w:val="20"/>
                <w:szCs w:val="20"/>
              </w:rPr>
            </w:pPr>
            <w:r w:rsidRPr="002124DE">
              <w:rPr>
                <w:rFonts w:ascii="Aptos" w:hAnsi="Aptos"/>
                <w:color w:val="000000" w:themeColor="text1"/>
                <w:sz w:val="20"/>
                <w:szCs w:val="20"/>
              </w:rPr>
              <w:t>Analyzing how the title is presented in the thumbnail</w:t>
            </w:r>
          </w:p>
        </w:tc>
      </w:tr>
    </w:tbl>
    <w:p w14:paraId="31B6272F" w14:textId="5B46FD50" w:rsidR="002124DE" w:rsidRPr="0051633C" w:rsidRDefault="002124DE" w:rsidP="004562A4">
      <w:pPr>
        <w:spacing w:before="100" w:beforeAutospacing="1" w:after="100" w:afterAutospacing="1"/>
        <w:rPr>
          <w:rFonts w:ascii="Aptos" w:hAnsi="Aptos"/>
          <w:color w:val="000000" w:themeColor="text1"/>
          <w:sz w:val="22"/>
          <w:szCs w:val="22"/>
          <w:lang w:val="en-US"/>
        </w:rPr>
      </w:pPr>
      <w:r w:rsidRPr="002124DE">
        <w:rPr>
          <w:rFonts w:ascii="Aptos" w:hAnsi="Aptos"/>
          <w:color w:val="000000" w:themeColor="text1"/>
          <w:sz w:val="22"/>
          <w:szCs w:val="22"/>
          <w:lang w:val="en-US"/>
        </w:rPr>
        <w:t xml:space="preserve">A </w:t>
      </w:r>
      <w:r w:rsidR="000F2DD1">
        <w:rPr>
          <w:rFonts w:ascii="Aptos" w:hAnsi="Aptos"/>
          <w:color w:val="000000" w:themeColor="text1"/>
          <w:sz w:val="22"/>
          <w:szCs w:val="22"/>
          <w:lang w:val="en-US"/>
        </w:rPr>
        <w:t>third</w:t>
      </w:r>
      <w:r w:rsidRPr="002124DE">
        <w:rPr>
          <w:rFonts w:ascii="Aptos" w:hAnsi="Aptos"/>
          <w:color w:val="000000" w:themeColor="text1"/>
          <w:sz w:val="22"/>
          <w:szCs w:val="22"/>
          <w:lang w:val="en-US"/>
        </w:rPr>
        <w:t xml:space="preserve"> set of considerations</w:t>
      </w:r>
      <w:r w:rsidR="0051633C">
        <w:rPr>
          <w:rFonts w:ascii="Aptos" w:hAnsi="Aptos"/>
          <w:color w:val="000000" w:themeColor="text1"/>
          <w:sz w:val="22"/>
          <w:szCs w:val="22"/>
          <w:lang w:val="en-US"/>
        </w:rPr>
        <w:t xml:space="preserve"> involves choices with regard to the extent of rows (or </w:t>
      </w:r>
      <w:proofErr w:type="spellStart"/>
      <w:r w:rsidR="0051633C" w:rsidRPr="00611F82">
        <w:rPr>
          <w:rFonts w:ascii="Aptos" w:hAnsi="Aptos"/>
          <w:i/>
          <w:iCs/>
          <w:color w:val="000000" w:themeColor="text1"/>
          <w:sz w:val="22"/>
          <w:szCs w:val="22"/>
          <w:lang w:val="en-US"/>
        </w:rPr>
        <w:t>swimlanes</w:t>
      </w:r>
      <w:proofErr w:type="spellEnd"/>
      <w:r w:rsidR="0051633C">
        <w:rPr>
          <w:rFonts w:ascii="Aptos" w:hAnsi="Aptos"/>
          <w:color w:val="000000" w:themeColor="text1"/>
          <w:sz w:val="22"/>
          <w:szCs w:val="22"/>
          <w:lang w:val="en-US"/>
        </w:rPr>
        <w:t>) and extent to which row titles are captured (</w:t>
      </w:r>
      <w:proofErr w:type="gramStart"/>
      <w:r w:rsidR="0051633C">
        <w:rPr>
          <w:rFonts w:ascii="Aptos" w:hAnsi="Aptos"/>
          <w:color w:val="000000" w:themeColor="text1"/>
          <w:sz w:val="22"/>
          <w:szCs w:val="22"/>
          <w:lang w:val="en-US"/>
        </w:rPr>
        <w:t>i.e.</w:t>
      </w:r>
      <w:proofErr w:type="gramEnd"/>
      <w:r w:rsidR="0051633C">
        <w:rPr>
          <w:rFonts w:ascii="Aptos" w:hAnsi="Aptos"/>
          <w:color w:val="000000" w:themeColor="text1"/>
          <w:sz w:val="22"/>
          <w:szCs w:val="22"/>
          <w:lang w:val="en-US"/>
        </w:rPr>
        <w:t xml:space="preserve"> the extent to which a viewer would have to click right to get access to the a particular title). I</w:t>
      </w:r>
      <w:r w:rsidRPr="002124DE">
        <w:rPr>
          <w:rFonts w:ascii="Aptos" w:hAnsi="Aptos"/>
          <w:color w:val="000000" w:themeColor="text1"/>
          <w:sz w:val="22"/>
          <w:szCs w:val="22"/>
          <w:lang w:val="en-US"/>
        </w:rPr>
        <w:t xml:space="preserve">f </w:t>
      </w:r>
      <w:r>
        <w:rPr>
          <w:rFonts w:ascii="Aptos" w:hAnsi="Aptos"/>
          <w:color w:val="000000" w:themeColor="text1"/>
          <w:sz w:val="22"/>
          <w:szCs w:val="22"/>
          <w:lang w:val="en-US"/>
        </w:rPr>
        <w:t xml:space="preserve">heavily based on practical </w:t>
      </w:r>
      <w:r w:rsidR="0051633C">
        <w:rPr>
          <w:rFonts w:ascii="Aptos" w:hAnsi="Aptos"/>
          <w:color w:val="000000" w:themeColor="text1"/>
          <w:sz w:val="22"/>
          <w:szCs w:val="22"/>
          <w:lang w:val="en-US"/>
        </w:rPr>
        <w:t>aspects</w:t>
      </w:r>
      <w:r>
        <w:rPr>
          <w:rFonts w:ascii="Aptos" w:hAnsi="Aptos"/>
          <w:color w:val="000000" w:themeColor="text1"/>
          <w:sz w:val="22"/>
          <w:szCs w:val="22"/>
          <w:lang w:val="en-US"/>
        </w:rPr>
        <w:t xml:space="preserve"> (available resources in time, </w:t>
      </w:r>
      <w:r w:rsidR="0051633C">
        <w:rPr>
          <w:rFonts w:ascii="Aptos" w:hAnsi="Aptos"/>
          <w:color w:val="000000" w:themeColor="text1"/>
          <w:sz w:val="22"/>
          <w:szCs w:val="22"/>
          <w:lang w:val="en-US"/>
        </w:rPr>
        <w:t xml:space="preserve">research </w:t>
      </w:r>
      <w:r>
        <w:rPr>
          <w:rFonts w:ascii="Aptos" w:hAnsi="Aptos"/>
          <w:color w:val="000000" w:themeColor="text1"/>
          <w:sz w:val="22"/>
          <w:szCs w:val="22"/>
          <w:lang w:val="en-US"/>
        </w:rPr>
        <w:t xml:space="preserve">budget and </w:t>
      </w:r>
      <w:r w:rsidR="0051633C">
        <w:rPr>
          <w:rFonts w:ascii="Aptos" w:hAnsi="Aptos"/>
          <w:color w:val="000000" w:themeColor="text1"/>
          <w:sz w:val="22"/>
          <w:szCs w:val="22"/>
          <w:lang w:val="en-US"/>
        </w:rPr>
        <w:t>available researchers/research assistants).</w:t>
      </w:r>
    </w:p>
    <w:tbl>
      <w:tblPr>
        <w:tblW w:w="8916" w:type="dxa"/>
        <w:tblCellMar>
          <w:left w:w="0" w:type="dxa"/>
          <w:right w:w="0" w:type="dxa"/>
        </w:tblCellMar>
        <w:tblLook w:val="0420" w:firstRow="1" w:lastRow="0" w:firstColumn="0" w:lastColumn="0" w:noHBand="0" w:noVBand="1"/>
      </w:tblPr>
      <w:tblGrid>
        <w:gridCol w:w="547"/>
        <w:gridCol w:w="3068"/>
        <w:gridCol w:w="5301"/>
      </w:tblGrid>
      <w:tr w:rsidR="0051633C" w:rsidRPr="0051633C" w14:paraId="422732A8" w14:textId="77777777" w:rsidTr="000F2DD1">
        <w:trPr>
          <w:trHeight w:val="276"/>
        </w:trPr>
        <w:tc>
          <w:tcPr>
            <w:tcW w:w="547" w:type="dxa"/>
            <w:tcBorders>
              <w:top w:val="single" w:sz="8" w:space="0" w:color="FFFFFF"/>
              <w:left w:val="single" w:sz="8" w:space="0" w:color="FFFFFF"/>
              <w:bottom w:val="single" w:sz="24" w:space="0" w:color="FFFFFF"/>
              <w:right w:val="single" w:sz="8" w:space="0" w:color="FFFFFF"/>
            </w:tcBorders>
            <w:shd w:val="clear" w:color="auto" w:fill="BF0000"/>
            <w:tcMar>
              <w:top w:w="72" w:type="dxa"/>
              <w:left w:w="144" w:type="dxa"/>
              <w:bottom w:w="72" w:type="dxa"/>
              <w:right w:w="144" w:type="dxa"/>
            </w:tcMar>
            <w:hideMark/>
          </w:tcPr>
          <w:p w14:paraId="340A0CC4" w14:textId="77777777" w:rsidR="0051633C" w:rsidRPr="002124DE" w:rsidRDefault="0051633C" w:rsidP="0051633C">
            <w:pPr>
              <w:rPr>
                <w:rFonts w:ascii="Aptos" w:hAnsi="Aptos"/>
                <w:color w:val="000000" w:themeColor="text1"/>
                <w:sz w:val="20"/>
                <w:szCs w:val="20"/>
              </w:rPr>
            </w:pPr>
            <w:r w:rsidRPr="002124DE">
              <w:rPr>
                <w:rFonts w:ascii="Aptos" w:hAnsi="Aptos"/>
                <w:b/>
                <w:bCs/>
                <w:color w:val="000000" w:themeColor="text1"/>
                <w:sz w:val="20"/>
                <w:szCs w:val="20"/>
              </w:rPr>
              <w:lastRenderedPageBreak/>
              <w:t>C</w:t>
            </w:r>
          </w:p>
        </w:tc>
        <w:tc>
          <w:tcPr>
            <w:tcW w:w="8369" w:type="dxa"/>
            <w:gridSpan w:val="2"/>
            <w:tcBorders>
              <w:top w:val="single" w:sz="8" w:space="0" w:color="FFFFFF"/>
              <w:left w:val="single" w:sz="8" w:space="0" w:color="FFFFFF"/>
              <w:bottom w:val="single" w:sz="24" w:space="0" w:color="FFFFFF"/>
              <w:right w:val="single" w:sz="8" w:space="0" w:color="FFFFFF"/>
            </w:tcBorders>
            <w:shd w:val="clear" w:color="auto" w:fill="BF0000"/>
            <w:tcMar>
              <w:top w:w="72" w:type="dxa"/>
              <w:left w:w="144" w:type="dxa"/>
              <w:bottom w:w="72" w:type="dxa"/>
              <w:right w:w="144" w:type="dxa"/>
            </w:tcMar>
            <w:hideMark/>
          </w:tcPr>
          <w:p w14:paraId="00989B1E" w14:textId="77777777" w:rsidR="0051633C" w:rsidRPr="002124DE" w:rsidRDefault="0051633C" w:rsidP="0051633C">
            <w:pPr>
              <w:rPr>
                <w:rFonts w:ascii="Aptos" w:hAnsi="Aptos"/>
                <w:color w:val="000000" w:themeColor="text1"/>
                <w:sz w:val="20"/>
                <w:szCs w:val="20"/>
              </w:rPr>
            </w:pPr>
            <w:r w:rsidRPr="002124DE">
              <w:rPr>
                <w:rFonts w:ascii="Aptos" w:hAnsi="Aptos"/>
                <w:b/>
                <w:bCs/>
                <w:color w:val="000000" w:themeColor="text1"/>
                <w:sz w:val="20"/>
                <w:szCs w:val="20"/>
              </w:rPr>
              <w:t>Choices made in counted rows and titles</w:t>
            </w:r>
          </w:p>
        </w:tc>
      </w:tr>
      <w:tr w:rsidR="0051633C" w:rsidRPr="0051633C" w14:paraId="241F9C15" w14:textId="77777777" w:rsidTr="00E14FB5">
        <w:trPr>
          <w:trHeight w:val="435"/>
        </w:trPr>
        <w:tc>
          <w:tcPr>
            <w:tcW w:w="547"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74CF28C6" w14:textId="77777777" w:rsidR="0051633C" w:rsidRPr="002124DE" w:rsidRDefault="0051633C" w:rsidP="0051633C">
            <w:pPr>
              <w:rPr>
                <w:rFonts w:ascii="Aptos" w:hAnsi="Aptos"/>
                <w:color w:val="000000" w:themeColor="text1"/>
                <w:sz w:val="20"/>
                <w:szCs w:val="20"/>
              </w:rPr>
            </w:pPr>
            <w:r w:rsidRPr="002124DE">
              <w:rPr>
                <w:rFonts w:ascii="Aptos" w:hAnsi="Aptos"/>
                <w:color w:val="000000" w:themeColor="text1"/>
                <w:sz w:val="20"/>
                <w:szCs w:val="20"/>
              </w:rPr>
              <w:t>1</w:t>
            </w:r>
          </w:p>
        </w:tc>
        <w:tc>
          <w:tcPr>
            <w:tcW w:w="3068"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4A5C3AA7" w14:textId="77777777" w:rsidR="0051633C" w:rsidRPr="002124DE" w:rsidRDefault="0051633C" w:rsidP="0051633C">
            <w:pPr>
              <w:rPr>
                <w:rFonts w:ascii="Aptos" w:hAnsi="Aptos"/>
                <w:color w:val="000000" w:themeColor="text1"/>
                <w:sz w:val="20"/>
                <w:szCs w:val="20"/>
              </w:rPr>
            </w:pPr>
            <w:r w:rsidRPr="002124DE">
              <w:rPr>
                <w:rFonts w:ascii="Aptos" w:hAnsi="Aptos"/>
                <w:color w:val="000000" w:themeColor="text1"/>
                <w:sz w:val="20"/>
                <w:szCs w:val="20"/>
              </w:rPr>
              <w:t>Levels of capturing content vertical</w:t>
            </w:r>
          </w:p>
        </w:tc>
        <w:tc>
          <w:tcPr>
            <w:tcW w:w="5301"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5E36E5AF" w14:textId="6597C012" w:rsidR="0051633C" w:rsidRPr="002124DE" w:rsidRDefault="0051633C" w:rsidP="0051633C">
            <w:pPr>
              <w:rPr>
                <w:rFonts w:ascii="Aptos" w:hAnsi="Aptos"/>
                <w:color w:val="000000" w:themeColor="text1"/>
                <w:sz w:val="20"/>
                <w:szCs w:val="20"/>
                <w:lang w:val="en-US"/>
              </w:rPr>
            </w:pPr>
            <w:r w:rsidRPr="002124DE">
              <w:rPr>
                <w:rFonts w:ascii="Aptos" w:hAnsi="Aptos"/>
                <w:color w:val="000000" w:themeColor="text1"/>
                <w:sz w:val="20"/>
                <w:szCs w:val="20"/>
              </w:rPr>
              <w:t>Only landing page?</w:t>
            </w:r>
            <w:r w:rsidR="00E14FB5" w:rsidRPr="00E14FB5">
              <w:rPr>
                <w:rFonts w:ascii="Aptos" w:hAnsi="Aptos"/>
                <w:color w:val="000000" w:themeColor="text1"/>
                <w:sz w:val="20"/>
                <w:szCs w:val="20"/>
                <w:lang w:val="en-US"/>
              </w:rPr>
              <w:t xml:space="preserve"> </w:t>
            </w:r>
            <w:r w:rsidRPr="002124DE">
              <w:rPr>
                <w:rFonts w:ascii="Aptos" w:hAnsi="Aptos"/>
                <w:color w:val="000000" w:themeColor="text1"/>
                <w:sz w:val="20"/>
                <w:szCs w:val="20"/>
              </w:rPr>
              <w:t>Entire catalogue?</w:t>
            </w:r>
            <w:r w:rsidR="00E14FB5" w:rsidRPr="00E14FB5">
              <w:rPr>
                <w:rFonts w:ascii="Aptos" w:hAnsi="Aptos"/>
                <w:color w:val="000000" w:themeColor="text1"/>
                <w:sz w:val="20"/>
                <w:szCs w:val="20"/>
                <w:lang w:val="en-US"/>
              </w:rPr>
              <w:t xml:space="preserve"> </w:t>
            </w:r>
            <w:r w:rsidRPr="0051633C">
              <w:rPr>
                <w:rFonts w:ascii="Aptos" w:hAnsi="Aptos"/>
                <w:color w:val="000000" w:themeColor="text1"/>
                <w:sz w:val="20"/>
                <w:szCs w:val="20"/>
                <w:lang w:val="en-US"/>
              </w:rPr>
              <w:t>S</w:t>
            </w:r>
            <w:r w:rsidRPr="002124DE">
              <w:rPr>
                <w:rFonts w:ascii="Aptos" w:hAnsi="Aptos"/>
                <w:color w:val="000000" w:themeColor="text1"/>
                <w:sz w:val="20"/>
                <w:szCs w:val="20"/>
              </w:rPr>
              <w:t>pecifi</w:t>
            </w:r>
            <w:r w:rsidRPr="0051633C">
              <w:rPr>
                <w:rFonts w:ascii="Aptos" w:hAnsi="Aptos"/>
                <w:color w:val="000000" w:themeColor="text1"/>
                <w:sz w:val="20"/>
                <w:szCs w:val="20"/>
                <w:lang w:val="en-US"/>
              </w:rPr>
              <w:t>ed</w:t>
            </w:r>
            <w:r w:rsidRPr="002124DE">
              <w:rPr>
                <w:rFonts w:ascii="Aptos" w:hAnsi="Aptos"/>
                <w:color w:val="000000" w:themeColor="text1"/>
                <w:sz w:val="20"/>
                <w:szCs w:val="20"/>
              </w:rPr>
              <w:t xml:space="preserve"> number of scrolls down</w:t>
            </w:r>
            <w:r w:rsidR="00E14FB5" w:rsidRPr="00E14FB5">
              <w:rPr>
                <w:rFonts w:ascii="Aptos" w:hAnsi="Aptos"/>
                <w:color w:val="000000" w:themeColor="text1"/>
                <w:sz w:val="20"/>
                <w:szCs w:val="20"/>
                <w:lang w:val="en-US"/>
              </w:rPr>
              <w:t>?</w:t>
            </w:r>
          </w:p>
        </w:tc>
      </w:tr>
      <w:tr w:rsidR="0051633C" w:rsidRPr="0051633C" w14:paraId="3BB3C30A" w14:textId="77777777" w:rsidTr="00E14FB5">
        <w:trPr>
          <w:trHeight w:val="387"/>
        </w:trPr>
        <w:tc>
          <w:tcPr>
            <w:tcW w:w="547"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6BB392E4" w14:textId="77777777" w:rsidR="0051633C" w:rsidRPr="002124DE" w:rsidRDefault="0051633C" w:rsidP="0051633C">
            <w:pPr>
              <w:rPr>
                <w:rFonts w:ascii="Aptos" w:hAnsi="Aptos"/>
                <w:color w:val="000000" w:themeColor="text1"/>
                <w:sz w:val="20"/>
                <w:szCs w:val="20"/>
              </w:rPr>
            </w:pPr>
            <w:r w:rsidRPr="002124DE">
              <w:rPr>
                <w:rFonts w:ascii="Aptos" w:hAnsi="Aptos"/>
                <w:color w:val="000000" w:themeColor="text1"/>
                <w:sz w:val="20"/>
                <w:szCs w:val="20"/>
              </w:rPr>
              <w:t>2</w:t>
            </w:r>
          </w:p>
        </w:tc>
        <w:tc>
          <w:tcPr>
            <w:tcW w:w="3068"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631716AF" w14:textId="77777777" w:rsidR="0051633C" w:rsidRPr="002124DE" w:rsidRDefault="0051633C" w:rsidP="0051633C">
            <w:pPr>
              <w:rPr>
                <w:rFonts w:ascii="Aptos" w:hAnsi="Aptos"/>
                <w:color w:val="000000" w:themeColor="text1"/>
                <w:sz w:val="20"/>
                <w:szCs w:val="20"/>
              </w:rPr>
            </w:pPr>
            <w:r w:rsidRPr="002124DE">
              <w:rPr>
                <w:rFonts w:ascii="Aptos" w:hAnsi="Aptos"/>
                <w:color w:val="000000" w:themeColor="text1"/>
                <w:sz w:val="20"/>
                <w:szCs w:val="20"/>
              </w:rPr>
              <w:t>Levels of capturing content horizontal</w:t>
            </w:r>
          </w:p>
        </w:tc>
        <w:tc>
          <w:tcPr>
            <w:tcW w:w="5301"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2179766B" w14:textId="11D7F672" w:rsidR="0051633C" w:rsidRPr="002124DE" w:rsidRDefault="0051633C" w:rsidP="0051633C">
            <w:pPr>
              <w:rPr>
                <w:rFonts w:ascii="Aptos" w:hAnsi="Aptos"/>
                <w:color w:val="000000" w:themeColor="text1"/>
                <w:sz w:val="20"/>
                <w:szCs w:val="20"/>
                <w:lang w:val="en-US"/>
              </w:rPr>
            </w:pPr>
            <w:r w:rsidRPr="002124DE">
              <w:rPr>
                <w:rFonts w:ascii="Aptos" w:hAnsi="Aptos"/>
                <w:color w:val="000000" w:themeColor="text1"/>
                <w:sz w:val="20"/>
                <w:szCs w:val="20"/>
              </w:rPr>
              <w:t>Only landing page?</w:t>
            </w:r>
            <w:r w:rsidR="00E14FB5" w:rsidRPr="00E14FB5">
              <w:rPr>
                <w:rFonts w:ascii="Aptos" w:hAnsi="Aptos"/>
                <w:color w:val="000000" w:themeColor="text1"/>
                <w:sz w:val="20"/>
                <w:szCs w:val="20"/>
                <w:lang w:val="en-US"/>
              </w:rPr>
              <w:t xml:space="preserve"> </w:t>
            </w:r>
            <w:r w:rsidRPr="002124DE">
              <w:rPr>
                <w:rFonts w:ascii="Aptos" w:hAnsi="Aptos"/>
                <w:color w:val="000000" w:themeColor="text1"/>
                <w:sz w:val="20"/>
                <w:szCs w:val="20"/>
              </w:rPr>
              <w:t>Entire catalogue?</w:t>
            </w:r>
            <w:r w:rsidR="00E14FB5" w:rsidRPr="00E14FB5">
              <w:rPr>
                <w:rFonts w:ascii="Aptos" w:hAnsi="Aptos"/>
                <w:color w:val="000000" w:themeColor="text1"/>
                <w:sz w:val="20"/>
                <w:szCs w:val="20"/>
                <w:lang w:val="en-US"/>
              </w:rPr>
              <w:t xml:space="preserve"> Specified</w:t>
            </w:r>
            <w:r w:rsidRPr="002124DE">
              <w:rPr>
                <w:rFonts w:ascii="Aptos" w:hAnsi="Aptos"/>
                <w:color w:val="000000" w:themeColor="text1"/>
                <w:sz w:val="20"/>
                <w:szCs w:val="20"/>
              </w:rPr>
              <w:t xml:space="preserve"> number of scrolls </w:t>
            </w:r>
            <w:r w:rsidR="00611F82" w:rsidRPr="00611F82">
              <w:rPr>
                <w:rFonts w:ascii="Aptos" w:hAnsi="Aptos"/>
                <w:color w:val="000000" w:themeColor="text1"/>
                <w:sz w:val="20"/>
                <w:szCs w:val="20"/>
                <w:lang w:val="en-US"/>
              </w:rPr>
              <w:t xml:space="preserve">tot he </w:t>
            </w:r>
            <w:r w:rsidRPr="002124DE">
              <w:rPr>
                <w:rFonts w:ascii="Aptos" w:hAnsi="Aptos"/>
                <w:color w:val="000000" w:themeColor="text1"/>
                <w:sz w:val="20"/>
                <w:szCs w:val="20"/>
              </w:rPr>
              <w:t>right</w:t>
            </w:r>
            <w:r w:rsidR="00E14FB5" w:rsidRPr="00E14FB5">
              <w:rPr>
                <w:rFonts w:ascii="Aptos" w:hAnsi="Aptos"/>
                <w:color w:val="000000" w:themeColor="text1"/>
                <w:sz w:val="20"/>
                <w:szCs w:val="20"/>
                <w:lang w:val="en-US"/>
              </w:rPr>
              <w:t>?</w:t>
            </w:r>
          </w:p>
        </w:tc>
      </w:tr>
    </w:tbl>
    <w:p w14:paraId="75612ECE" w14:textId="38213608" w:rsidR="00CD5195" w:rsidRPr="00770AC1" w:rsidRDefault="00770AC1" w:rsidP="004562A4">
      <w:pPr>
        <w:spacing w:before="100" w:beforeAutospacing="1" w:after="100" w:afterAutospacing="1"/>
        <w:rPr>
          <w:rFonts w:ascii="Aptos" w:hAnsi="Aptos"/>
          <w:color w:val="000000" w:themeColor="text1"/>
          <w:sz w:val="22"/>
          <w:szCs w:val="22"/>
          <w:lang w:val="en-US"/>
        </w:rPr>
      </w:pPr>
      <w:r w:rsidRPr="00770AC1">
        <w:rPr>
          <w:rFonts w:ascii="Aptos" w:hAnsi="Aptos"/>
          <w:color w:val="000000" w:themeColor="text1"/>
          <w:sz w:val="22"/>
          <w:szCs w:val="22"/>
          <w:lang w:val="en-US"/>
        </w:rPr>
        <w:t xml:space="preserve">For the above, additional considerations involve the </w:t>
      </w:r>
      <w:r>
        <w:rPr>
          <w:rFonts w:ascii="Aptos" w:hAnsi="Aptos"/>
          <w:color w:val="000000" w:themeColor="text1"/>
          <w:sz w:val="22"/>
          <w:szCs w:val="22"/>
          <w:lang w:val="en-US"/>
        </w:rPr>
        <w:t>type of device(s) used to capture the visibility of content, as recommender systems might diversify display of content according to consumption through a mobile device, a laptop or desktop, or a smart-tv or other form of connection device to a television set.</w:t>
      </w:r>
      <w:r w:rsidR="00611F82">
        <w:rPr>
          <w:rFonts w:ascii="Aptos" w:hAnsi="Aptos"/>
          <w:color w:val="000000" w:themeColor="text1"/>
          <w:sz w:val="22"/>
          <w:szCs w:val="22"/>
          <w:lang w:val="en-US"/>
        </w:rPr>
        <w:t xml:space="preserve"> </w:t>
      </w:r>
      <w:r w:rsidR="000F2DD1" w:rsidRPr="00770AC1">
        <w:rPr>
          <w:rFonts w:ascii="Aptos" w:hAnsi="Aptos"/>
          <w:color w:val="000000" w:themeColor="text1"/>
          <w:sz w:val="22"/>
          <w:szCs w:val="22"/>
          <w:lang w:val="en-US"/>
        </w:rPr>
        <w:t>A fourth</w:t>
      </w:r>
      <w:r w:rsidR="00611F82">
        <w:rPr>
          <w:rFonts w:ascii="Aptos" w:hAnsi="Aptos"/>
          <w:color w:val="000000" w:themeColor="text1"/>
          <w:sz w:val="22"/>
          <w:szCs w:val="22"/>
          <w:lang w:val="en-US"/>
        </w:rPr>
        <w:t xml:space="preserve"> and final</w:t>
      </w:r>
      <w:r w:rsidR="000F2DD1" w:rsidRPr="00770AC1">
        <w:rPr>
          <w:rFonts w:ascii="Aptos" w:hAnsi="Aptos"/>
          <w:color w:val="000000" w:themeColor="text1"/>
          <w:sz w:val="22"/>
          <w:szCs w:val="22"/>
          <w:lang w:val="en-US"/>
        </w:rPr>
        <w:t xml:space="preserve"> </w:t>
      </w:r>
      <w:r w:rsidRPr="00770AC1">
        <w:rPr>
          <w:rFonts w:ascii="Aptos" w:hAnsi="Aptos"/>
          <w:color w:val="000000" w:themeColor="text1"/>
          <w:sz w:val="22"/>
          <w:szCs w:val="22"/>
          <w:lang w:val="en-US"/>
        </w:rPr>
        <w:t xml:space="preserve">series of </w:t>
      </w:r>
      <w:r w:rsidR="000F2DD1" w:rsidRPr="00770AC1">
        <w:rPr>
          <w:rFonts w:ascii="Aptos" w:hAnsi="Aptos"/>
          <w:color w:val="000000" w:themeColor="text1"/>
          <w:sz w:val="22"/>
          <w:szCs w:val="22"/>
          <w:lang w:val="en-US"/>
        </w:rPr>
        <w:t>consideration</w:t>
      </w:r>
      <w:r w:rsidRPr="00770AC1">
        <w:rPr>
          <w:rFonts w:ascii="Aptos" w:hAnsi="Aptos"/>
          <w:color w:val="000000" w:themeColor="text1"/>
          <w:sz w:val="22"/>
          <w:szCs w:val="22"/>
          <w:lang w:val="en-US"/>
        </w:rPr>
        <w:t>s</w:t>
      </w:r>
      <w:r w:rsidR="00611F82">
        <w:rPr>
          <w:rFonts w:ascii="Aptos" w:hAnsi="Aptos"/>
          <w:color w:val="000000" w:themeColor="text1"/>
          <w:sz w:val="22"/>
          <w:szCs w:val="22"/>
          <w:lang w:val="en-US"/>
        </w:rPr>
        <w:t xml:space="preserve"> - </w:t>
      </w:r>
      <w:r>
        <w:rPr>
          <w:rFonts w:ascii="Aptos" w:hAnsi="Aptos"/>
          <w:color w:val="000000" w:themeColor="text1"/>
          <w:sz w:val="22"/>
          <w:szCs w:val="22"/>
          <w:lang w:val="en-US"/>
        </w:rPr>
        <w:t>undoubtedly the most challenging</w:t>
      </w:r>
      <w:r w:rsidR="00611F82">
        <w:rPr>
          <w:rFonts w:ascii="Aptos" w:hAnsi="Aptos"/>
          <w:color w:val="000000" w:themeColor="text1"/>
          <w:sz w:val="22"/>
          <w:szCs w:val="22"/>
          <w:lang w:val="en-US"/>
        </w:rPr>
        <w:t xml:space="preserve"> - </w:t>
      </w:r>
      <w:r>
        <w:rPr>
          <w:rFonts w:ascii="Aptos" w:hAnsi="Aptos"/>
          <w:color w:val="000000" w:themeColor="text1"/>
          <w:sz w:val="22"/>
          <w:szCs w:val="22"/>
          <w:lang w:val="en-US"/>
        </w:rPr>
        <w:t>involves</w:t>
      </w:r>
      <w:r w:rsidR="00BD00EF">
        <w:rPr>
          <w:rFonts w:ascii="Aptos" w:hAnsi="Aptos"/>
          <w:color w:val="000000" w:themeColor="text1"/>
          <w:sz w:val="22"/>
          <w:szCs w:val="22"/>
          <w:lang w:val="en-US"/>
        </w:rPr>
        <w:t xml:space="preserve"> considerations related to the use of one or multiple accounts used to analyze prominence of content on interfaces.</w:t>
      </w:r>
      <w:r w:rsidR="00CD5195">
        <w:rPr>
          <w:rFonts w:ascii="Aptos" w:hAnsi="Aptos"/>
          <w:color w:val="000000" w:themeColor="text1"/>
          <w:sz w:val="22"/>
          <w:szCs w:val="22"/>
          <w:lang w:val="en-US"/>
        </w:rPr>
        <w:t xml:space="preserve"> Here Lobato et al. (2024) also point to the growing, yet still limited use of digital methods and automated capturing of catalogue interfaces that might benefit cost-and time efficiency, yet the same time create new obstacles for qualitative interpretation of results. </w:t>
      </w:r>
    </w:p>
    <w:tbl>
      <w:tblPr>
        <w:tblW w:w="8876" w:type="dxa"/>
        <w:tblCellMar>
          <w:left w:w="0" w:type="dxa"/>
          <w:right w:w="0" w:type="dxa"/>
        </w:tblCellMar>
        <w:tblLook w:val="0420" w:firstRow="1" w:lastRow="0" w:firstColumn="0" w:lastColumn="0" w:noHBand="0" w:noVBand="1"/>
      </w:tblPr>
      <w:tblGrid>
        <w:gridCol w:w="4526"/>
        <w:gridCol w:w="4350"/>
      </w:tblGrid>
      <w:tr w:rsidR="00770AC1" w:rsidRPr="00770AC1" w14:paraId="096BEA85" w14:textId="77777777" w:rsidTr="00BD00EF">
        <w:trPr>
          <w:trHeight w:val="216"/>
        </w:trPr>
        <w:tc>
          <w:tcPr>
            <w:tcW w:w="8876" w:type="dxa"/>
            <w:gridSpan w:val="2"/>
            <w:tcBorders>
              <w:top w:val="single" w:sz="8" w:space="0" w:color="FFFFFF"/>
              <w:left w:val="single" w:sz="8" w:space="0" w:color="FFFFFF"/>
              <w:bottom w:val="single" w:sz="24" w:space="0" w:color="FFFFFF"/>
              <w:right w:val="single" w:sz="8" w:space="0" w:color="FFFFFF"/>
            </w:tcBorders>
            <w:shd w:val="clear" w:color="auto" w:fill="BF0000"/>
            <w:tcMar>
              <w:top w:w="72" w:type="dxa"/>
              <w:left w:w="144" w:type="dxa"/>
              <w:bottom w:w="72" w:type="dxa"/>
              <w:right w:w="144" w:type="dxa"/>
            </w:tcMar>
            <w:hideMark/>
          </w:tcPr>
          <w:p w14:paraId="0806D6D2" w14:textId="2AFBD354" w:rsidR="00770AC1" w:rsidRPr="00770AC1" w:rsidRDefault="00770AC1" w:rsidP="00770AC1">
            <w:pPr>
              <w:spacing w:before="100" w:beforeAutospacing="1" w:after="100" w:afterAutospacing="1"/>
              <w:rPr>
                <w:rFonts w:ascii="Aptos" w:hAnsi="Aptos"/>
                <w:color w:val="000000" w:themeColor="text1"/>
                <w:sz w:val="20"/>
                <w:szCs w:val="20"/>
                <w:lang w:val="nl-NL"/>
              </w:rPr>
            </w:pPr>
            <w:proofErr w:type="spellStart"/>
            <w:r>
              <w:rPr>
                <w:rFonts w:ascii="Aptos" w:hAnsi="Aptos"/>
                <w:b/>
                <w:bCs/>
                <w:color w:val="000000" w:themeColor="text1"/>
                <w:sz w:val="20"/>
                <w:szCs w:val="20"/>
                <w:lang w:val="nl-NL"/>
              </w:rPr>
              <w:t>Personalization</w:t>
            </w:r>
            <w:proofErr w:type="spellEnd"/>
            <w:r>
              <w:rPr>
                <w:rFonts w:ascii="Aptos" w:hAnsi="Aptos"/>
                <w:b/>
                <w:bCs/>
                <w:color w:val="000000" w:themeColor="text1"/>
                <w:sz w:val="20"/>
                <w:szCs w:val="20"/>
                <w:lang w:val="nl-NL"/>
              </w:rPr>
              <w:t xml:space="preserve"> </w:t>
            </w:r>
          </w:p>
        </w:tc>
      </w:tr>
      <w:tr w:rsidR="00770AC1" w:rsidRPr="00770AC1" w14:paraId="51710E75" w14:textId="77777777" w:rsidTr="00BD00EF">
        <w:trPr>
          <w:trHeight w:val="245"/>
        </w:trPr>
        <w:tc>
          <w:tcPr>
            <w:tcW w:w="4526"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0C109496" w14:textId="77777777" w:rsidR="00770AC1" w:rsidRPr="00770AC1" w:rsidRDefault="00770AC1" w:rsidP="00770AC1">
            <w:pPr>
              <w:spacing w:before="100" w:beforeAutospacing="1" w:after="100" w:afterAutospacing="1"/>
              <w:rPr>
                <w:rFonts w:ascii="Aptos" w:hAnsi="Aptos"/>
                <w:color w:val="000000" w:themeColor="text1"/>
                <w:sz w:val="20"/>
                <w:szCs w:val="20"/>
              </w:rPr>
            </w:pPr>
            <w:r w:rsidRPr="00770AC1">
              <w:rPr>
                <w:rFonts w:ascii="Aptos" w:hAnsi="Aptos"/>
                <w:color w:val="000000" w:themeColor="text1"/>
                <w:sz w:val="20"/>
                <w:szCs w:val="20"/>
              </w:rPr>
              <w:t>Blank account</w:t>
            </w:r>
          </w:p>
        </w:tc>
        <w:tc>
          <w:tcPr>
            <w:tcW w:w="4350" w:type="dxa"/>
            <w:tcBorders>
              <w:top w:val="single" w:sz="24"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7320EEAB" w14:textId="77777777" w:rsidR="00770AC1" w:rsidRPr="00770AC1" w:rsidRDefault="00770AC1" w:rsidP="00770AC1">
            <w:pPr>
              <w:spacing w:before="100" w:beforeAutospacing="1" w:after="100" w:afterAutospacing="1"/>
              <w:rPr>
                <w:rFonts w:ascii="Aptos" w:hAnsi="Aptos"/>
                <w:color w:val="000000" w:themeColor="text1"/>
                <w:sz w:val="20"/>
                <w:szCs w:val="20"/>
              </w:rPr>
            </w:pPr>
            <w:r w:rsidRPr="00770AC1">
              <w:rPr>
                <w:rFonts w:ascii="Aptos" w:hAnsi="Aptos"/>
                <w:color w:val="000000" w:themeColor="text1"/>
                <w:sz w:val="20"/>
                <w:szCs w:val="20"/>
                <w:lang w:val="en-GB"/>
              </w:rPr>
              <w:t xml:space="preserve">No single account is </w:t>
            </w:r>
            <w:proofErr w:type="gramStart"/>
            <w:r w:rsidRPr="00770AC1">
              <w:rPr>
                <w:rFonts w:ascii="Aptos" w:hAnsi="Aptos"/>
                <w:color w:val="000000" w:themeColor="text1"/>
                <w:sz w:val="20"/>
                <w:szCs w:val="20"/>
                <w:lang w:val="en-GB"/>
              </w:rPr>
              <w:t>really blank</w:t>
            </w:r>
            <w:proofErr w:type="gramEnd"/>
          </w:p>
        </w:tc>
      </w:tr>
      <w:tr w:rsidR="00770AC1" w:rsidRPr="00770AC1" w14:paraId="137C71DD" w14:textId="77777777" w:rsidTr="00BD00EF">
        <w:trPr>
          <w:trHeight w:val="360"/>
        </w:trPr>
        <w:tc>
          <w:tcPr>
            <w:tcW w:w="4526"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79446D8D" w14:textId="31477E3B" w:rsidR="00770AC1" w:rsidRPr="00770AC1" w:rsidRDefault="00770AC1" w:rsidP="00770AC1">
            <w:pPr>
              <w:spacing w:before="100" w:beforeAutospacing="1" w:after="100" w:afterAutospacing="1"/>
              <w:rPr>
                <w:rFonts w:ascii="Aptos" w:hAnsi="Aptos"/>
                <w:color w:val="000000" w:themeColor="text1"/>
                <w:sz w:val="20"/>
                <w:szCs w:val="20"/>
              </w:rPr>
            </w:pPr>
            <w:r w:rsidRPr="00770AC1">
              <w:rPr>
                <w:rFonts w:ascii="Aptos" w:hAnsi="Aptos"/>
                <w:color w:val="000000" w:themeColor="text1"/>
                <w:sz w:val="20"/>
                <w:szCs w:val="20"/>
              </w:rPr>
              <w:t>Variation based on viewing behaviour: different accounts with typical or atypical (</w:t>
            </w:r>
            <w:r w:rsidR="00BD00EF" w:rsidRPr="00BD00EF">
              <w:rPr>
                <w:rFonts w:ascii="Aptos" w:hAnsi="Aptos"/>
                <w:color w:val="000000" w:themeColor="text1"/>
                <w:sz w:val="20"/>
                <w:szCs w:val="20"/>
                <w:lang w:val="en-US"/>
              </w:rPr>
              <w:t>e.g.</w:t>
            </w:r>
            <w:r w:rsidRPr="00770AC1">
              <w:rPr>
                <w:rFonts w:ascii="Aptos" w:hAnsi="Aptos"/>
                <w:color w:val="000000" w:themeColor="text1"/>
                <w:sz w:val="20"/>
                <w:szCs w:val="20"/>
              </w:rPr>
              <w:t xml:space="preserve"> genre-based accounts)</w:t>
            </w:r>
          </w:p>
        </w:tc>
        <w:tc>
          <w:tcPr>
            <w:tcW w:w="4350"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512BAC43" w14:textId="77777777" w:rsidR="00770AC1" w:rsidRPr="00770AC1" w:rsidRDefault="00770AC1" w:rsidP="00770AC1">
            <w:pPr>
              <w:spacing w:before="100" w:beforeAutospacing="1" w:after="100" w:afterAutospacing="1"/>
              <w:rPr>
                <w:rFonts w:ascii="Aptos" w:hAnsi="Aptos"/>
                <w:color w:val="000000" w:themeColor="text1"/>
                <w:sz w:val="20"/>
                <w:szCs w:val="20"/>
              </w:rPr>
            </w:pPr>
            <w:r w:rsidRPr="00770AC1">
              <w:rPr>
                <w:rFonts w:ascii="Aptos" w:hAnsi="Aptos"/>
                <w:color w:val="000000" w:themeColor="text1"/>
                <w:sz w:val="20"/>
                <w:szCs w:val="20"/>
              </w:rPr>
              <w:t>N-number of accounts; burdensome to train</w:t>
            </w:r>
          </w:p>
        </w:tc>
      </w:tr>
      <w:tr w:rsidR="00770AC1" w:rsidRPr="00770AC1" w14:paraId="5B02FC5A" w14:textId="77777777" w:rsidTr="00BD00EF">
        <w:trPr>
          <w:trHeight w:val="505"/>
        </w:trPr>
        <w:tc>
          <w:tcPr>
            <w:tcW w:w="4526"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2828F7DD" w14:textId="77777777" w:rsidR="00770AC1" w:rsidRPr="00770AC1" w:rsidRDefault="00770AC1" w:rsidP="00770AC1">
            <w:pPr>
              <w:spacing w:before="100" w:beforeAutospacing="1" w:after="100" w:afterAutospacing="1"/>
              <w:rPr>
                <w:rFonts w:ascii="Aptos" w:hAnsi="Aptos"/>
                <w:color w:val="000000" w:themeColor="text1"/>
                <w:sz w:val="20"/>
                <w:szCs w:val="20"/>
              </w:rPr>
            </w:pPr>
            <w:r w:rsidRPr="00770AC1">
              <w:rPr>
                <w:rFonts w:ascii="Aptos" w:hAnsi="Aptos"/>
                <w:color w:val="000000" w:themeColor="text1"/>
                <w:sz w:val="20"/>
                <w:szCs w:val="20"/>
              </w:rPr>
              <w:t>Variation based on demographs: different accounts with several different demographs</w:t>
            </w:r>
          </w:p>
        </w:tc>
        <w:tc>
          <w:tcPr>
            <w:tcW w:w="4350" w:type="dxa"/>
            <w:tcBorders>
              <w:top w:val="single" w:sz="8" w:space="0" w:color="FFFFFF"/>
              <w:left w:val="single" w:sz="8" w:space="0" w:color="FFFFFF"/>
              <w:bottom w:val="single" w:sz="8" w:space="0" w:color="FFFFFF"/>
              <w:right w:val="single" w:sz="8" w:space="0" w:color="FFFFFF"/>
            </w:tcBorders>
            <w:shd w:val="clear" w:color="auto" w:fill="E8CBCB"/>
            <w:tcMar>
              <w:top w:w="72" w:type="dxa"/>
              <w:left w:w="144" w:type="dxa"/>
              <w:bottom w:w="72" w:type="dxa"/>
              <w:right w:w="144" w:type="dxa"/>
            </w:tcMar>
            <w:hideMark/>
          </w:tcPr>
          <w:p w14:paraId="46B9A530" w14:textId="1488F4DA" w:rsidR="00770AC1" w:rsidRPr="00770AC1" w:rsidRDefault="00770AC1" w:rsidP="00770AC1">
            <w:pPr>
              <w:spacing w:before="100" w:beforeAutospacing="1" w:after="100" w:afterAutospacing="1"/>
              <w:rPr>
                <w:rFonts w:ascii="Aptos" w:hAnsi="Aptos"/>
                <w:color w:val="000000" w:themeColor="text1"/>
                <w:sz w:val="20"/>
                <w:szCs w:val="20"/>
              </w:rPr>
            </w:pPr>
            <w:r w:rsidRPr="00770AC1">
              <w:rPr>
                <w:rFonts w:ascii="Aptos" w:hAnsi="Aptos"/>
                <w:color w:val="000000" w:themeColor="text1"/>
                <w:sz w:val="20"/>
                <w:szCs w:val="20"/>
              </w:rPr>
              <w:t>Difficult to assess whether promin</w:t>
            </w:r>
            <w:r w:rsidR="00BD00EF" w:rsidRPr="00BD00EF">
              <w:rPr>
                <w:rFonts w:ascii="Aptos" w:hAnsi="Aptos"/>
                <w:color w:val="000000" w:themeColor="text1"/>
                <w:sz w:val="20"/>
                <w:szCs w:val="20"/>
                <w:lang w:val="en-US"/>
              </w:rPr>
              <w:t>e</w:t>
            </w:r>
            <w:r w:rsidRPr="00770AC1">
              <w:rPr>
                <w:rFonts w:ascii="Aptos" w:hAnsi="Aptos"/>
                <w:color w:val="000000" w:themeColor="text1"/>
                <w:sz w:val="20"/>
                <w:szCs w:val="20"/>
              </w:rPr>
              <w:t>nce is result of manipulation</w:t>
            </w:r>
          </w:p>
        </w:tc>
      </w:tr>
      <w:tr w:rsidR="00770AC1" w:rsidRPr="00770AC1" w14:paraId="3824F131" w14:textId="77777777" w:rsidTr="00BD00EF">
        <w:trPr>
          <w:trHeight w:val="560"/>
        </w:trPr>
        <w:tc>
          <w:tcPr>
            <w:tcW w:w="4526"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1C97E157" w14:textId="77777777" w:rsidR="00770AC1" w:rsidRPr="00770AC1" w:rsidRDefault="00770AC1" w:rsidP="00770AC1">
            <w:pPr>
              <w:spacing w:before="100" w:beforeAutospacing="1" w:after="100" w:afterAutospacing="1"/>
              <w:rPr>
                <w:rFonts w:ascii="Aptos" w:hAnsi="Aptos"/>
                <w:color w:val="000000" w:themeColor="text1"/>
                <w:sz w:val="20"/>
                <w:szCs w:val="20"/>
              </w:rPr>
            </w:pPr>
            <w:r w:rsidRPr="00770AC1">
              <w:rPr>
                <w:rFonts w:ascii="Aptos" w:hAnsi="Aptos"/>
                <w:color w:val="000000" w:themeColor="text1"/>
                <w:sz w:val="20"/>
                <w:szCs w:val="20"/>
              </w:rPr>
              <w:t>Variation based on ‘trained’ profiles (like/not like, favourites, etc.)</w:t>
            </w:r>
          </w:p>
        </w:tc>
        <w:tc>
          <w:tcPr>
            <w:tcW w:w="4350" w:type="dxa"/>
            <w:tcBorders>
              <w:top w:val="single" w:sz="8" w:space="0" w:color="FFFFFF"/>
              <w:left w:val="single" w:sz="8" w:space="0" w:color="FFFFFF"/>
              <w:bottom w:val="single" w:sz="8" w:space="0" w:color="FFFFFF"/>
              <w:right w:val="single" w:sz="8" w:space="0" w:color="FFFFFF"/>
            </w:tcBorders>
            <w:shd w:val="clear" w:color="auto" w:fill="F4E7E7"/>
            <w:tcMar>
              <w:top w:w="72" w:type="dxa"/>
              <w:left w:w="144" w:type="dxa"/>
              <w:bottom w:w="72" w:type="dxa"/>
              <w:right w:w="144" w:type="dxa"/>
            </w:tcMar>
            <w:hideMark/>
          </w:tcPr>
          <w:p w14:paraId="09AC7584" w14:textId="77777777" w:rsidR="00770AC1" w:rsidRPr="00770AC1" w:rsidRDefault="00770AC1" w:rsidP="00770AC1">
            <w:pPr>
              <w:spacing w:before="100" w:beforeAutospacing="1" w:after="100" w:afterAutospacing="1"/>
              <w:rPr>
                <w:rFonts w:ascii="Aptos" w:hAnsi="Aptos"/>
                <w:color w:val="000000" w:themeColor="text1"/>
                <w:sz w:val="20"/>
                <w:szCs w:val="20"/>
              </w:rPr>
            </w:pPr>
            <w:r w:rsidRPr="00770AC1">
              <w:rPr>
                <w:rFonts w:ascii="Aptos" w:hAnsi="Aptos"/>
                <w:color w:val="000000" w:themeColor="text1"/>
                <w:sz w:val="20"/>
                <w:szCs w:val="20"/>
              </w:rPr>
              <w:t>Difficult to assess whether promiennce is result of manipulation</w:t>
            </w:r>
          </w:p>
        </w:tc>
      </w:tr>
    </w:tbl>
    <w:p w14:paraId="67EEF6A0" w14:textId="5C4165BA" w:rsidR="00BB390F" w:rsidRPr="00804CA2" w:rsidRDefault="00BD00EF" w:rsidP="00BB390F">
      <w:pPr>
        <w:pStyle w:val="NormalWeb"/>
        <w:rPr>
          <w:rFonts w:ascii="Aptos" w:hAnsi="Aptos"/>
          <w:b/>
          <w:bCs/>
          <w:color w:val="114C6D"/>
          <w:lang w:val="en-US"/>
        </w:rPr>
      </w:pPr>
      <w:r>
        <w:rPr>
          <w:rFonts w:ascii="Aptos" w:hAnsi="Aptos"/>
          <w:b/>
          <w:bCs/>
          <w:color w:val="114C6D"/>
          <w:lang w:val="en-US"/>
        </w:rPr>
        <w:t>In conclusion</w:t>
      </w:r>
    </w:p>
    <w:p w14:paraId="49C85665" w14:textId="77777777" w:rsidR="00611F82" w:rsidRDefault="00BD00EF" w:rsidP="00E14FB5">
      <w:pPr>
        <w:spacing w:before="100" w:beforeAutospacing="1" w:after="100" w:afterAutospacing="1"/>
        <w:rPr>
          <w:rFonts w:ascii="Aptos" w:hAnsi="Aptos"/>
          <w:color w:val="000000" w:themeColor="text1"/>
          <w:sz w:val="22"/>
          <w:szCs w:val="22"/>
          <w:lang w:val="en-US"/>
        </w:rPr>
      </w:pPr>
      <w:r>
        <w:rPr>
          <w:rFonts w:ascii="Aptos" w:hAnsi="Aptos"/>
          <w:color w:val="000000" w:themeColor="text1"/>
          <w:sz w:val="22"/>
          <w:szCs w:val="22"/>
          <w:lang w:val="en-US"/>
        </w:rPr>
        <w:t>The paper recognizes the growing rich</w:t>
      </w:r>
      <w:r w:rsidR="00611F82">
        <w:rPr>
          <w:rFonts w:ascii="Aptos" w:hAnsi="Aptos"/>
          <w:color w:val="000000" w:themeColor="text1"/>
          <w:sz w:val="22"/>
          <w:szCs w:val="22"/>
          <w:lang w:val="en-US"/>
        </w:rPr>
        <w:t xml:space="preserve">ness </w:t>
      </w:r>
      <w:r>
        <w:rPr>
          <w:rFonts w:ascii="Aptos" w:hAnsi="Aptos"/>
          <w:color w:val="000000" w:themeColor="text1"/>
          <w:sz w:val="22"/>
          <w:szCs w:val="22"/>
          <w:lang w:val="en-US"/>
        </w:rPr>
        <w:t>of studies on interfaces and presentation of content as part of a much broader field of streaming</w:t>
      </w:r>
      <w:r w:rsidR="00611F82">
        <w:rPr>
          <w:rFonts w:ascii="Aptos" w:hAnsi="Aptos"/>
          <w:color w:val="000000" w:themeColor="text1"/>
          <w:sz w:val="22"/>
          <w:szCs w:val="22"/>
          <w:lang w:val="en-US"/>
        </w:rPr>
        <w:t xml:space="preserve"> (catalog)</w:t>
      </w:r>
      <w:r>
        <w:rPr>
          <w:rFonts w:ascii="Aptos" w:hAnsi="Aptos"/>
          <w:color w:val="000000" w:themeColor="text1"/>
          <w:sz w:val="22"/>
          <w:szCs w:val="22"/>
          <w:lang w:val="en-US"/>
        </w:rPr>
        <w:t xml:space="preserve"> studies. By deconstructing the different considerations to be made</w:t>
      </w:r>
      <w:r w:rsidR="00611F82">
        <w:rPr>
          <w:rFonts w:ascii="Aptos" w:hAnsi="Aptos"/>
          <w:color w:val="000000" w:themeColor="text1"/>
          <w:sz w:val="22"/>
          <w:szCs w:val="22"/>
          <w:lang w:val="en-US"/>
        </w:rPr>
        <w:t xml:space="preserve"> when </w:t>
      </w:r>
      <w:r>
        <w:rPr>
          <w:rFonts w:ascii="Aptos" w:hAnsi="Aptos"/>
          <w:color w:val="000000" w:themeColor="text1"/>
          <w:sz w:val="22"/>
          <w:szCs w:val="22"/>
          <w:lang w:val="en-US"/>
        </w:rPr>
        <w:t>develop</w:t>
      </w:r>
      <w:r w:rsidR="00611F82">
        <w:rPr>
          <w:rFonts w:ascii="Aptos" w:hAnsi="Aptos"/>
          <w:color w:val="000000" w:themeColor="text1"/>
          <w:sz w:val="22"/>
          <w:szCs w:val="22"/>
          <w:lang w:val="en-US"/>
        </w:rPr>
        <w:t>ing</w:t>
      </w:r>
      <w:r>
        <w:rPr>
          <w:rFonts w:ascii="Aptos" w:hAnsi="Aptos"/>
          <w:color w:val="000000" w:themeColor="text1"/>
          <w:sz w:val="22"/>
          <w:szCs w:val="22"/>
          <w:lang w:val="en-US"/>
        </w:rPr>
        <w:t xml:space="preserve"> a measurement tool, we underscore </w:t>
      </w:r>
      <w:r w:rsidR="00BB390F">
        <w:rPr>
          <w:rFonts w:ascii="Aptos" w:hAnsi="Aptos"/>
          <w:color w:val="000000" w:themeColor="text1"/>
          <w:sz w:val="22"/>
          <w:szCs w:val="22"/>
          <w:lang w:val="en-US"/>
        </w:rPr>
        <w:t>the difficulties of measuring prominence</w:t>
      </w:r>
      <w:r w:rsidR="00611F82">
        <w:rPr>
          <w:rFonts w:ascii="Aptos" w:hAnsi="Aptos"/>
          <w:color w:val="000000" w:themeColor="text1"/>
          <w:sz w:val="22"/>
          <w:szCs w:val="22"/>
          <w:lang w:val="en-US"/>
        </w:rPr>
        <w:t xml:space="preserve"> and discoverability</w:t>
      </w:r>
      <w:r w:rsidR="00BB390F">
        <w:rPr>
          <w:rFonts w:ascii="Aptos" w:hAnsi="Aptos"/>
          <w:color w:val="000000" w:themeColor="text1"/>
          <w:sz w:val="22"/>
          <w:szCs w:val="22"/>
          <w:lang w:val="en-US"/>
        </w:rPr>
        <w:t xml:space="preserve">, </w:t>
      </w:r>
      <w:r w:rsidR="00611F82">
        <w:rPr>
          <w:rFonts w:ascii="Aptos" w:hAnsi="Aptos"/>
          <w:color w:val="000000" w:themeColor="text1"/>
          <w:sz w:val="22"/>
          <w:szCs w:val="22"/>
          <w:lang w:val="en-US"/>
        </w:rPr>
        <w:t xml:space="preserve">as this </w:t>
      </w:r>
      <w:r>
        <w:rPr>
          <w:rFonts w:ascii="Aptos" w:hAnsi="Aptos"/>
          <w:color w:val="000000" w:themeColor="text1"/>
          <w:sz w:val="22"/>
          <w:szCs w:val="22"/>
          <w:lang w:val="en-US"/>
        </w:rPr>
        <w:t xml:space="preserve">involves </w:t>
      </w:r>
      <w:proofErr w:type="gramStart"/>
      <w:r>
        <w:rPr>
          <w:rFonts w:ascii="Aptos" w:hAnsi="Aptos"/>
          <w:color w:val="000000" w:themeColor="text1"/>
          <w:sz w:val="22"/>
          <w:szCs w:val="22"/>
          <w:lang w:val="en-US"/>
        </w:rPr>
        <w:t>a number</w:t>
      </w:r>
      <w:r w:rsidR="00BB390F">
        <w:rPr>
          <w:rFonts w:ascii="Aptos" w:hAnsi="Aptos"/>
          <w:color w:val="000000" w:themeColor="text1"/>
          <w:sz w:val="22"/>
          <w:szCs w:val="22"/>
          <w:lang w:val="en-US"/>
        </w:rPr>
        <w:t xml:space="preserve"> of</w:t>
      </w:r>
      <w:proofErr w:type="gramEnd"/>
      <w:r w:rsidR="00BB390F">
        <w:rPr>
          <w:rFonts w:ascii="Aptos" w:hAnsi="Aptos"/>
          <w:color w:val="000000" w:themeColor="text1"/>
          <w:sz w:val="22"/>
          <w:szCs w:val="22"/>
          <w:lang w:val="en-US"/>
        </w:rPr>
        <w:t xml:space="preserve"> arbitrary choices</w:t>
      </w:r>
      <w:r w:rsidR="00611F82">
        <w:rPr>
          <w:rFonts w:ascii="Aptos" w:hAnsi="Aptos"/>
          <w:color w:val="000000" w:themeColor="text1"/>
          <w:sz w:val="22"/>
          <w:szCs w:val="22"/>
          <w:lang w:val="en-US"/>
        </w:rPr>
        <w:t xml:space="preserve"> that might impact findings, to be undertaken</w:t>
      </w:r>
      <w:r w:rsidR="00BB390F">
        <w:rPr>
          <w:rFonts w:ascii="Aptos" w:hAnsi="Aptos"/>
          <w:color w:val="000000" w:themeColor="text1"/>
          <w:sz w:val="22"/>
          <w:szCs w:val="22"/>
          <w:lang w:val="en-US"/>
        </w:rPr>
        <w:t xml:space="preserve"> </w:t>
      </w:r>
      <w:r>
        <w:rPr>
          <w:rFonts w:ascii="Aptos" w:hAnsi="Aptos"/>
          <w:color w:val="000000" w:themeColor="text1"/>
          <w:sz w:val="22"/>
          <w:szCs w:val="22"/>
          <w:lang w:val="en-US"/>
        </w:rPr>
        <w:t xml:space="preserve">in a research context characterized by a </w:t>
      </w:r>
      <w:r w:rsidR="00BB390F">
        <w:rPr>
          <w:rFonts w:ascii="Aptos" w:hAnsi="Aptos"/>
          <w:color w:val="000000" w:themeColor="text1"/>
          <w:sz w:val="22"/>
          <w:szCs w:val="22"/>
          <w:lang w:val="en-US"/>
        </w:rPr>
        <w:t xml:space="preserve">dependence on the untransparent workings of </w:t>
      </w:r>
      <w:r>
        <w:rPr>
          <w:rFonts w:ascii="Aptos" w:hAnsi="Aptos"/>
          <w:color w:val="000000" w:themeColor="text1"/>
          <w:sz w:val="22"/>
          <w:szCs w:val="22"/>
          <w:lang w:val="en-US"/>
        </w:rPr>
        <w:t xml:space="preserve">streaming </w:t>
      </w:r>
      <w:r w:rsidR="00BB390F">
        <w:rPr>
          <w:rFonts w:ascii="Aptos" w:hAnsi="Aptos"/>
          <w:color w:val="000000" w:themeColor="text1"/>
          <w:sz w:val="22"/>
          <w:szCs w:val="22"/>
          <w:lang w:val="en-US"/>
        </w:rPr>
        <w:t>player</w:t>
      </w:r>
      <w:r>
        <w:rPr>
          <w:rFonts w:ascii="Aptos" w:hAnsi="Aptos"/>
          <w:color w:val="000000" w:themeColor="text1"/>
          <w:sz w:val="22"/>
          <w:szCs w:val="22"/>
          <w:lang w:val="en-US"/>
        </w:rPr>
        <w:t>s’</w:t>
      </w:r>
      <w:r w:rsidR="00BB390F">
        <w:rPr>
          <w:rFonts w:ascii="Aptos" w:hAnsi="Aptos"/>
          <w:color w:val="000000" w:themeColor="text1"/>
          <w:sz w:val="22"/>
          <w:szCs w:val="22"/>
          <w:lang w:val="en-US"/>
        </w:rPr>
        <w:t xml:space="preserve"> recommender systems</w:t>
      </w:r>
      <w:r>
        <w:rPr>
          <w:rFonts w:ascii="Aptos" w:hAnsi="Aptos"/>
          <w:color w:val="000000" w:themeColor="text1"/>
          <w:sz w:val="22"/>
          <w:szCs w:val="22"/>
          <w:lang w:val="en-US"/>
        </w:rPr>
        <w:t xml:space="preserve">. </w:t>
      </w:r>
    </w:p>
    <w:p w14:paraId="74319FE2" w14:textId="25D0B64A" w:rsidR="00642ECF" w:rsidRPr="00E14FB5" w:rsidRDefault="00BD00EF" w:rsidP="00E14FB5">
      <w:pPr>
        <w:spacing w:before="100" w:beforeAutospacing="1" w:after="100" w:afterAutospacing="1"/>
        <w:rPr>
          <w:rFonts w:ascii="Aptos" w:hAnsi="Aptos"/>
          <w:color w:val="000000" w:themeColor="text1"/>
          <w:sz w:val="22"/>
          <w:szCs w:val="22"/>
          <w:lang w:val="en-US"/>
        </w:rPr>
      </w:pPr>
      <w:r>
        <w:rPr>
          <w:rFonts w:ascii="Aptos" w:hAnsi="Aptos"/>
          <w:color w:val="000000" w:themeColor="text1"/>
          <w:sz w:val="22"/>
          <w:szCs w:val="22"/>
          <w:lang w:val="en-US"/>
        </w:rPr>
        <w:t>Y</w:t>
      </w:r>
      <w:r w:rsidR="00BB390F">
        <w:rPr>
          <w:rFonts w:ascii="Aptos" w:hAnsi="Aptos"/>
          <w:color w:val="000000" w:themeColor="text1"/>
          <w:sz w:val="22"/>
          <w:szCs w:val="22"/>
          <w:lang w:val="en-US"/>
        </w:rPr>
        <w:t xml:space="preserve">et, by creating transparence </w:t>
      </w:r>
      <w:r w:rsidR="00A17D1A">
        <w:rPr>
          <w:rFonts w:ascii="Aptos" w:hAnsi="Aptos"/>
          <w:color w:val="000000" w:themeColor="text1"/>
          <w:sz w:val="22"/>
          <w:szCs w:val="22"/>
          <w:lang w:val="en-US"/>
        </w:rPr>
        <w:t>on</w:t>
      </w:r>
      <w:r w:rsidR="00BB390F">
        <w:rPr>
          <w:rFonts w:ascii="Aptos" w:hAnsi="Aptos"/>
          <w:color w:val="000000" w:themeColor="text1"/>
          <w:sz w:val="22"/>
          <w:szCs w:val="22"/>
          <w:lang w:val="en-US"/>
        </w:rPr>
        <w:t xml:space="preserve"> </w:t>
      </w:r>
      <w:r>
        <w:rPr>
          <w:rFonts w:ascii="Aptos" w:hAnsi="Aptos"/>
          <w:color w:val="000000" w:themeColor="text1"/>
          <w:sz w:val="22"/>
          <w:szCs w:val="22"/>
          <w:lang w:val="en-US"/>
        </w:rPr>
        <w:t>those</w:t>
      </w:r>
      <w:r w:rsidR="00BB390F">
        <w:rPr>
          <w:rFonts w:ascii="Aptos" w:hAnsi="Aptos"/>
          <w:color w:val="000000" w:themeColor="text1"/>
          <w:sz w:val="22"/>
          <w:szCs w:val="22"/>
          <w:lang w:val="en-US"/>
        </w:rPr>
        <w:t xml:space="preserve"> considerations, and by systematically bringing them together </w:t>
      </w:r>
      <w:r w:rsidR="00CD5195">
        <w:rPr>
          <w:rFonts w:ascii="Aptos" w:hAnsi="Aptos"/>
          <w:color w:val="000000" w:themeColor="text1"/>
          <w:sz w:val="22"/>
          <w:szCs w:val="22"/>
          <w:lang w:val="en-US"/>
        </w:rPr>
        <w:t>in a</w:t>
      </w:r>
      <w:r w:rsidR="00BB390F">
        <w:rPr>
          <w:rFonts w:ascii="Aptos" w:hAnsi="Aptos"/>
          <w:color w:val="000000" w:themeColor="text1"/>
          <w:sz w:val="22"/>
          <w:szCs w:val="22"/>
          <w:lang w:val="en-US"/>
        </w:rPr>
        <w:t xml:space="preserve"> categorization</w:t>
      </w:r>
      <w:r w:rsidR="00CD5195">
        <w:rPr>
          <w:rFonts w:ascii="Aptos" w:hAnsi="Aptos"/>
          <w:color w:val="000000" w:themeColor="text1"/>
          <w:sz w:val="22"/>
          <w:szCs w:val="22"/>
          <w:lang w:val="en-US"/>
        </w:rPr>
        <w:t xml:space="preserve"> or typology</w:t>
      </w:r>
      <w:r w:rsidR="00BB390F">
        <w:rPr>
          <w:rFonts w:ascii="Aptos" w:hAnsi="Aptos"/>
          <w:color w:val="000000" w:themeColor="text1"/>
          <w:sz w:val="22"/>
          <w:szCs w:val="22"/>
          <w:lang w:val="en-US"/>
        </w:rPr>
        <w:t xml:space="preserve">, researchers </w:t>
      </w:r>
      <w:r w:rsidR="00CD5195">
        <w:rPr>
          <w:rFonts w:ascii="Aptos" w:hAnsi="Aptos"/>
          <w:color w:val="000000" w:themeColor="text1"/>
          <w:sz w:val="22"/>
          <w:szCs w:val="22"/>
          <w:lang w:val="en-US"/>
        </w:rPr>
        <w:t xml:space="preserve">could potentially develop clear choices according to the research questions asked; a categorization of considerations could enable to systematically </w:t>
      </w:r>
      <w:r w:rsidR="00BB390F">
        <w:rPr>
          <w:rFonts w:ascii="Aptos" w:hAnsi="Aptos"/>
          <w:color w:val="000000" w:themeColor="text1"/>
          <w:sz w:val="22"/>
          <w:szCs w:val="22"/>
          <w:lang w:val="en-US"/>
        </w:rPr>
        <w:t xml:space="preserve">analyze how particular outcomes </w:t>
      </w:r>
      <w:r w:rsidR="00CD5195">
        <w:rPr>
          <w:rFonts w:ascii="Aptos" w:hAnsi="Aptos"/>
          <w:color w:val="000000" w:themeColor="text1"/>
          <w:sz w:val="22"/>
          <w:szCs w:val="22"/>
          <w:lang w:val="en-US"/>
        </w:rPr>
        <w:t>are</w:t>
      </w:r>
      <w:r w:rsidR="00BB390F">
        <w:rPr>
          <w:rFonts w:ascii="Aptos" w:hAnsi="Aptos"/>
          <w:color w:val="000000" w:themeColor="text1"/>
          <w:sz w:val="22"/>
          <w:szCs w:val="22"/>
          <w:lang w:val="en-US"/>
        </w:rPr>
        <w:t xml:space="preserve"> affected through </w:t>
      </w:r>
      <w:r w:rsidR="00CD5195">
        <w:rPr>
          <w:rFonts w:ascii="Aptos" w:hAnsi="Aptos"/>
          <w:color w:val="000000" w:themeColor="text1"/>
          <w:sz w:val="22"/>
          <w:szCs w:val="22"/>
          <w:lang w:val="en-US"/>
        </w:rPr>
        <w:t>choices made in the research design</w:t>
      </w:r>
      <w:r w:rsidR="00BB390F">
        <w:rPr>
          <w:rFonts w:ascii="Aptos" w:hAnsi="Aptos"/>
          <w:color w:val="000000" w:themeColor="text1"/>
          <w:sz w:val="22"/>
          <w:szCs w:val="22"/>
          <w:lang w:val="en-US"/>
        </w:rPr>
        <w:t xml:space="preserve"> </w:t>
      </w:r>
      <w:r w:rsidR="00CD5195">
        <w:rPr>
          <w:rFonts w:ascii="Aptos" w:hAnsi="Aptos"/>
          <w:color w:val="000000" w:themeColor="text1"/>
          <w:sz w:val="22"/>
          <w:szCs w:val="22"/>
          <w:lang w:val="en-US"/>
        </w:rPr>
        <w:t>and,</w:t>
      </w:r>
      <w:r w:rsidR="00BB390F">
        <w:rPr>
          <w:rFonts w:ascii="Aptos" w:hAnsi="Aptos"/>
          <w:color w:val="000000" w:themeColor="text1"/>
          <w:sz w:val="22"/>
          <w:szCs w:val="22"/>
          <w:lang w:val="en-US"/>
        </w:rPr>
        <w:t xml:space="preserve"> on top of that, a more systematized model might </w:t>
      </w:r>
      <w:r w:rsidR="00CD5195">
        <w:rPr>
          <w:rFonts w:ascii="Aptos" w:hAnsi="Aptos"/>
          <w:color w:val="000000" w:themeColor="text1"/>
          <w:sz w:val="22"/>
          <w:szCs w:val="22"/>
          <w:lang w:val="en-US"/>
        </w:rPr>
        <w:t>facilitate</w:t>
      </w:r>
      <w:r w:rsidR="00BB390F">
        <w:rPr>
          <w:rFonts w:ascii="Aptos" w:hAnsi="Aptos"/>
          <w:color w:val="000000" w:themeColor="text1"/>
          <w:sz w:val="22"/>
          <w:szCs w:val="22"/>
          <w:lang w:val="en-US"/>
        </w:rPr>
        <w:t xml:space="preserve"> descriptions of methodology sections in academic publications where word count often prevents elaborating on different methodological considerations that do can impact the visibility of works. Lastly, the explorative toolbox </w:t>
      </w:r>
      <w:r w:rsidR="00C41962">
        <w:rPr>
          <w:rFonts w:ascii="Aptos" w:hAnsi="Aptos"/>
          <w:color w:val="000000" w:themeColor="text1"/>
          <w:sz w:val="22"/>
          <w:szCs w:val="22"/>
          <w:lang w:val="en-US"/>
        </w:rPr>
        <w:t>should</w:t>
      </w:r>
      <w:r w:rsidR="00BB390F">
        <w:rPr>
          <w:rFonts w:ascii="Aptos" w:hAnsi="Aptos"/>
          <w:color w:val="000000" w:themeColor="text1"/>
          <w:sz w:val="22"/>
          <w:szCs w:val="22"/>
          <w:lang w:val="en-US"/>
        </w:rPr>
        <w:t xml:space="preserve"> also be seen as a </w:t>
      </w:r>
      <w:r w:rsidR="00C41962">
        <w:rPr>
          <w:rFonts w:ascii="Aptos" w:hAnsi="Aptos"/>
          <w:color w:val="000000" w:themeColor="text1"/>
          <w:sz w:val="22"/>
          <w:szCs w:val="22"/>
          <w:lang w:val="en-US"/>
        </w:rPr>
        <w:t>plea</w:t>
      </w:r>
      <w:r w:rsidR="00BB390F">
        <w:rPr>
          <w:rFonts w:ascii="Aptos" w:hAnsi="Aptos"/>
          <w:color w:val="000000" w:themeColor="text1"/>
          <w:sz w:val="22"/>
          <w:szCs w:val="22"/>
          <w:lang w:val="en-US"/>
        </w:rPr>
        <w:t xml:space="preserve"> to increase collaboration within the highly rich yet still </w:t>
      </w:r>
      <w:r w:rsidR="00CD5195">
        <w:rPr>
          <w:rFonts w:ascii="Aptos" w:hAnsi="Aptos"/>
          <w:color w:val="000000" w:themeColor="text1"/>
          <w:sz w:val="22"/>
          <w:szCs w:val="22"/>
          <w:lang w:val="en-US"/>
        </w:rPr>
        <w:t>developing</w:t>
      </w:r>
      <w:r w:rsidR="00BB390F">
        <w:rPr>
          <w:rFonts w:ascii="Aptos" w:hAnsi="Aptos"/>
          <w:color w:val="000000" w:themeColor="text1"/>
          <w:sz w:val="22"/>
          <w:szCs w:val="22"/>
          <w:lang w:val="en-US"/>
        </w:rPr>
        <w:t xml:space="preserve"> field of streaming</w:t>
      </w:r>
      <w:r w:rsidR="00E14FB5">
        <w:rPr>
          <w:rFonts w:ascii="Aptos" w:hAnsi="Aptos"/>
          <w:color w:val="000000" w:themeColor="text1"/>
          <w:sz w:val="22"/>
          <w:szCs w:val="22"/>
          <w:lang w:val="en-US"/>
        </w:rPr>
        <w:t xml:space="preserve"> research</w:t>
      </w:r>
      <w:r w:rsidR="00C41962">
        <w:rPr>
          <w:rFonts w:ascii="Aptos" w:hAnsi="Aptos"/>
          <w:color w:val="000000" w:themeColor="text1"/>
          <w:sz w:val="22"/>
          <w:szCs w:val="22"/>
          <w:lang w:val="en-US"/>
        </w:rPr>
        <w:t>;</w:t>
      </w:r>
      <w:r w:rsidR="00BB390F">
        <w:rPr>
          <w:rFonts w:ascii="Aptos" w:hAnsi="Aptos"/>
          <w:color w:val="000000" w:themeColor="text1"/>
          <w:sz w:val="22"/>
          <w:szCs w:val="22"/>
          <w:lang w:val="en-US"/>
        </w:rPr>
        <w:t xml:space="preserve"> scholars often analyze diversity of catalogues, </w:t>
      </w:r>
      <w:proofErr w:type="gramStart"/>
      <w:r w:rsidR="00BB390F">
        <w:rPr>
          <w:rFonts w:ascii="Aptos" w:hAnsi="Aptos"/>
          <w:color w:val="000000" w:themeColor="text1"/>
          <w:sz w:val="22"/>
          <w:szCs w:val="22"/>
          <w:lang w:val="en-US"/>
        </w:rPr>
        <w:t>content</w:t>
      </w:r>
      <w:proofErr w:type="gramEnd"/>
      <w:r w:rsidR="00BB390F">
        <w:rPr>
          <w:rFonts w:ascii="Aptos" w:hAnsi="Aptos"/>
          <w:color w:val="000000" w:themeColor="text1"/>
          <w:sz w:val="22"/>
          <w:szCs w:val="22"/>
          <w:lang w:val="en-US"/>
        </w:rPr>
        <w:t xml:space="preserve"> and packaging in highly similar ways, yet often </w:t>
      </w:r>
      <w:r w:rsidR="00C41962">
        <w:rPr>
          <w:rFonts w:ascii="Aptos" w:hAnsi="Aptos"/>
          <w:color w:val="000000" w:themeColor="text1"/>
          <w:sz w:val="22"/>
          <w:szCs w:val="22"/>
          <w:lang w:val="en-US"/>
        </w:rPr>
        <w:t>set</w:t>
      </w:r>
      <w:r w:rsidR="00BB390F">
        <w:rPr>
          <w:rFonts w:ascii="Aptos" w:hAnsi="Aptos"/>
          <w:color w:val="000000" w:themeColor="text1"/>
          <w:sz w:val="22"/>
          <w:szCs w:val="22"/>
          <w:lang w:val="en-US"/>
        </w:rPr>
        <w:t xml:space="preserve"> out from own custom-made categorizations or genre labels. Connecting the different dots through harmonization of research considerations</w:t>
      </w:r>
      <w:r w:rsidR="00C41962">
        <w:rPr>
          <w:rFonts w:ascii="Aptos" w:hAnsi="Aptos"/>
          <w:color w:val="000000" w:themeColor="text1"/>
          <w:sz w:val="22"/>
          <w:szCs w:val="22"/>
          <w:lang w:val="en-US"/>
        </w:rPr>
        <w:t>,</w:t>
      </w:r>
      <w:r w:rsidR="00BB390F">
        <w:rPr>
          <w:rFonts w:ascii="Aptos" w:hAnsi="Aptos"/>
          <w:color w:val="000000" w:themeColor="text1"/>
          <w:sz w:val="22"/>
          <w:szCs w:val="22"/>
          <w:lang w:val="en-US"/>
        </w:rPr>
        <w:t xml:space="preserve"> could contribute to increase large-scale collaboration and </w:t>
      </w:r>
      <w:r w:rsidR="00BB390F">
        <w:rPr>
          <w:rFonts w:ascii="Aptos" w:hAnsi="Aptos"/>
          <w:color w:val="000000" w:themeColor="text1"/>
          <w:sz w:val="22"/>
          <w:szCs w:val="22"/>
          <w:lang w:val="en-US"/>
        </w:rPr>
        <w:lastRenderedPageBreak/>
        <w:t xml:space="preserve">comparability of steaming catalogs. </w:t>
      </w:r>
      <w:r w:rsidR="00CD5195">
        <w:rPr>
          <w:rFonts w:ascii="Aptos" w:hAnsi="Aptos"/>
          <w:color w:val="000000" w:themeColor="text1"/>
          <w:sz w:val="22"/>
          <w:szCs w:val="22"/>
          <w:lang w:val="en-US"/>
        </w:rPr>
        <w:t xml:space="preserve">The paper </w:t>
      </w:r>
      <w:r w:rsidR="00C41962">
        <w:rPr>
          <w:rFonts w:ascii="Aptos" w:hAnsi="Aptos"/>
          <w:color w:val="000000" w:themeColor="text1"/>
          <w:sz w:val="22"/>
          <w:szCs w:val="22"/>
          <w:lang w:val="en-US"/>
        </w:rPr>
        <w:t>furthermore argues</w:t>
      </w:r>
      <w:r w:rsidR="00CD5195">
        <w:rPr>
          <w:rFonts w:ascii="Aptos" w:hAnsi="Aptos"/>
          <w:color w:val="000000" w:themeColor="text1"/>
          <w:sz w:val="22"/>
          <w:szCs w:val="22"/>
          <w:lang w:val="en-US"/>
        </w:rPr>
        <w:t xml:space="preserve"> for increasing cross-over between the research on </w:t>
      </w:r>
      <w:r w:rsidR="004562A4">
        <w:rPr>
          <w:rFonts w:ascii="Aptos" w:hAnsi="Aptos"/>
          <w:color w:val="000000" w:themeColor="text1"/>
          <w:sz w:val="22"/>
          <w:szCs w:val="22"/>
          <w:lang w:val="en-US"/>
        </w:rPr>
        <w:t>recommender system</w:t>
      </w:r>
      <w:r w:rsidR="00CD5195">
        <w:rPr>
          <w:rFonts w:ascii="Aptos" w:hAnsi="Aptos"/>
          <w:color w:val="000000" w:themeColor="text1"/>
          <w:sz w:val="22"/>
          <w:szCs w:val="22"/>
          <w:lang w:val="en-US"/>
        </w:rPr>
        <w:t>s</w:t>
      </w:r>
      <w:r w:rsidR="004562A4">
        <w:rPr>
          <w:rFonts w:ascii="Aptos" w:hAnsi="Aptos"/>
          <w:color w:val="000000" w:themeColor="text1"/>
          <w:sz w:val="22"/>
          <w:szCs w:val="22"/>
          <w:lang w:val="en-US"/>
        </w:rPr>
        <w:t xml:space="preserve"> </w:t>
      </w:r>
      <w:r w:rsidR="00CD5195">
        <w:rPr>
          <w:rFonts w:ascii="Aptos" w:hAnsi="Aptos"/>
          <w:color w:val="000000" w:themeColor="text1"/>
          <w:sz w:val="22"/>
          <w:szCs w:val="22"/>
          <w:lang w:val="en-US"/>
        </w:rPr>
        <w:t>within data science and engineering,</w:t>
      </w:r>
      <w:r w:rsidR="004562A4">
        <w:rPr>
          <w:rFonts w:ascii="Aptos" w:hAnsi="Aptos"/>
          <w:color w:val="000000" w:themeColor="text1"/>
          <w:sz w:val="22"/>
          <w:szCs w:val="22"/>
          <w:lang w:val="en-US"/>
        </w:rPr>
        <w:t xml:space="preserve"> that might provide ways to enable thorough analysis. At the same time, we argue that studying prominence from a social science </w:t>
      </w:r>
      <w:r w:rsidR="00CD5195">
        <w:rPr>
          <w:rFonts w:ascii="Aptos" w:hAnsi="Aptos"/>
          <w:color w:val="000000" w:themeColor="text1"/>
          <w:sz w:val="22"/>
          <w:szCs w:val="22"/>
          <w:lang w:val="en-US"/>
        </w:rPr>
        <w:t xml:space="preserve">or – more specifically – media industries’ </w:t>
      </w:r>
      <w:r w:rsidR="004562A4">
        <w:rPr>
          <w:rFonts w:ascii="Aptos" w:hAnsi="Aptos"/>
          <w:color w:val="000000" w:themeColor="text1"/>
          <w:sz w:val="22"/>
          <w:szCs w:val="22"/>
          <w:lang w:val="en-US"/>
        </w:rPr>
        <w:t>perspective require</w:t>
      </w:r>
      <w:r w:rsidR="00E14FB5">
        <w:rPr>
          <w:rFonts w:ascii="Aptos" w:hAnsi="Aptos"/>
          <w:color w:val="000000" w:themeColor="text1"/>
          <w:sz w:val="22"/>
          <w:szCs w:val="22"/>
          <w:lang w:val="en-US"/>
        </w:rPr>
        <w:t>s</w:t>
      </w:r>
      <w:r w:rsidR="004562A4">
        <w:rPr>
          <w:rFonts w:ascii="Aptos" w:hAnsi="Aptos"/>
          <w:color w:val="000000" w:themeColor="text1"/>
          <w:sz w:val="22"/>
          <w:szCs w:val="22"/>
          <w:lang w:val="en-US"/>
        </w:rPr>
        <w:t xml:space="preserve"> at least complementing with qualitative analyses, given the highly context-dependent design, </w:t>
      </w:r>
      <w:proofErr w:type="gramStart"/>
      <w:r w:rsidR="004562A4">
        <w:rPr>
          <w:rFonts w:ascii="Aptos" w:hAnsi="Aptos"/>
          <w:color w:val="000000" w:themeColor="text1"/>
          <w:sz w:val="22"/>
          <w:szCs w:val="22"/>
          <w:lang w:val="en-US"/>
        </w:rPr>
        <w:t>strategies</w:t>
      </w:r>
      <w:proofErr w:type="gramEnd"/>
      <w:r w:rsidR="004562A4">
        <w:rPr>
          <w:rFonts w:ascii="Aptos" w:hAnsi="Aptos"/>
          <w:color w:val="000000" w:themeColor="text1"/>
          <w:sz w:val="22"/>
          <w:szCs w:val="22"/>
          <w:lang w:val="en-US"/>
        </w:rPr>
        <w:t xml:space="preserve"> and placement of streaming services</w:t>
      </w:r>
      <w:r w:rsidR="00E14FB5">
        <w:rPr>
          <w:rFonts w:ascii="Aptos" w:hAnsi="Aptos"/>
          <w:color w:val="000000" w:themeColor="text1"/>
          <w:sz w:val="22"/>
          <w:szCs w:val="22"/>
          <w:lang w:val="en-US"/>
        </w:rPr>
        <w:t xml:space="preserve">, which is where media studies could markedly contribute to the field of computer engineering and </w:t>
      </w:r>
      <w:proofErr w:type="spellStart"/>
      <w:r w:rsidR="00E14FB5">
        <w:rPr>
          <w:rFonts w:ascii="Aptos" w:hAnsi="Aptos"/>
          <w:color w:val="000000" w:themeColor="text1"/>
          <w:sz w:val="22"/>
          <w:szCs w:val="22"/>
          <w:lang w:val="en-US"/>
        </w:rPr>
        <w:t>recsys</w:t>
      </w:r>
      <w:proofErr w:type="spellEnd"/>
      <w:r w:rsidR="00E14FB5">
        <w:rPr>
          <w:rFonts w:ascii="Aptos" w:hAnsi="Aptos"/>
          <w:color w:val="000000" w:themeColor="text1"/>
          <w:sz w:val="22"/>
          <w:szCs w:val="22"/>
          <w:lang w:val="en-US"/>
        </w:rPr>
        <w:t xml:space="preserve"> studies. </w:t>
      </w:r>
    </w:p>
    <w:p w14:paraId="3687E300" w14:textId="7EF9E939" w:rsidR="00991B57" w:rsidRPr="00991B57" w:rsidRDefault="00642ECF" w:rsidP="00991B57">
      <w:pPr>
        <w:pStyle w:val="NormalWeb"/>
      </w:pPr>
      <w:r>
        <w:rPr>
          <w:rFonts w:ascii="Aptos" w:hAnsi="Aptos"/>
          <w:b/>
          <w:bCs/>
          <w:color w:val="114C6D"/>
        </w:rPr>
        <w:t xml:space="preserve">References </w:t>
      </w:r>
    </w:p>
    <w:p w14:paraId="161C56FC" w14:textId="77777777" w:rsidR="00991B57" w:rsidRPr="0071346C" w:rsidRDefault="00991B57" w:rsidP="0071346C">
      <w:pPr>
        <w:ind w:right="878"/>
        <w:jc w:val="both"/>
        <w:rPr>
          <w:rFonts w:ascii="Aptos" w:hAnsi="Aptos"/>
          <w:color w:val="000000" w:themeColor="text1"/>
          <w:sz w:val="22"/>
          <w:szCs w:val="22"/>
        </w:rPr>
      </w:pPr>
      <w:r w:rsidRPr="0071346C">
        <w:rPr>
          <w:rFonts w:ascii="Aptos" w:hAnsi="Aptos"/>
          <w:color w:val="000000" w:themeColor="text1"/>
          <w:sz w:val="22"/>
          <w:szCs w:val="22"/>
        </w:rPr>
        <w:t xml:space="preserve">Afilipoaie, A., Iordache, C. &amp; T. Raats (2021). The ‘Netflix original’ and what it means for TV drama production in Europe. In: Critical studies in Television, 16(3): 304-325. </w:t>
      </w:r>
    </w:p>
    <w:p w14:paraId="2CEA2458" w14:textId="77777777" w:rsidR="00991B57" w:rsidRDefault="00991B57" w:rsidP="0071346C">
      <w:pPr>
        <w:rPr>
          <w:rFonts w:ascii="Aptos" w:hAnsi="Aptos"/>
          <w:color w:val="000000" w:themeColor="text1"/>
          <w:sz w:val="22"/>
          <w:szCs w:val="22"/>
        </w:rPr>
      </w:pPr>
    </w:p>
    <w:p w14:paraId="5841CF2C" w14:textId="547523C5" w:rsidR="00991B57" w:rsidRDefault="00991B57" w:rsidP="0071346C">
      <w:pPr>
        <w:rPr>
          <w:rFonts w:ascii="Aptos" w:hAnsi="Aptos"/>
          <w:color w:val="000000" w:themeColor="text1"/>
          <w:sz w:val="22"/>
          <w:szCs w:val="22"/>
        </w:rPr>
      </w:pPr>
      <w:r w:rsidRPr="005744F4">
        <w:rPr>
          <w:rFonts w:ascii="Aptos" w:hAnsi="Aptos"/>
          <w:color w:val="000000" w:themeColor="text1"/>
          <w:sz w:val="22"/>
          <w:szCs w:val="22"/>
        </w:rPr>
        <w:t xml:space="preserve">Albornoz, L. A., &amp; García Leiva, M. T. (2022). Netflix Originals in Spain: Challenging diversity. European Journal of Communication, 37(1), 63-81. </w:t>
      </w:r>
      <w:r>
        <w:rPr>
          <w:rFonts w:ascii="Aptos" w:hAnsi="Aptos"/>
          <w:color w:val="000000" w:themeColor="text1"/>
          <w:sz w:val="22"/>
          <w:szCs w:val="22"/>
        </w:rPr>
        <w:fldChar w:fldCharType="begin"/>
      </w:r>
      <w:r>
        <w:rPr>
          <w:rFonts w:ascii="Aptos" w:hAnsi="Aptos"/>
          <w:color w:val="000000" w:themeColor="text1"/>
          <w:sz w:val="22"/>
          <w:szCs w:val="22"/>
        </w:rPr>
        <w:instrText xml:space="preserve"> HYPERLINK "</w:instrText>
      </w:r>
      <w:r w:rsidRPr="005744F4">
        <w:rPr>
          <w:rFonts w:ascii="Aptos" w:hAnsi="Aptos"/>
          <w:color w:val="000000" w:themeColor="text1"/>
          <w:sz w:val="22"/>
          <w:szCs w:val="22"/>
        </w:rPr>
        <w:instrText>https://doi.org/10.1177/02673231211012174</w:instrText>
      </w:r>
      <w:r>
        <w:rPr>
          <w:rFonts w:ascii="Aptos" w:hAnsi="Aptos"/>
          <w:color w:val="000000" w:themeColor="text1"/>
          <w:sz w:val="22"/>
          <w:szCs w:val="22"/>
        </w:rPr>
        <w:instrText xml:space="preserve">" </w:instrText>
      </w:r>
      <w:r>
        <w:rPr>
          <w:rFonts w:ascii="Aptos" w:hAnsi="Aptos"/>
          <w:color w:val="000000" w:themeColor="text1"/>
          <w:sz w:val="22"/>
          <w:szCs w:val="22"/>
        </w:rPr>
        <w:fldChar w:fldCharType="separate"/>
      </w:r>
      <w:r w:rsidRPr="006A7C7D">
        <w:rPr>
          <w:rStyle w:val="Hyperlink"/>
          <w:rFonts w:ascii="Aptos" w:hAnsi="Aptos"/>
          <w:sz w:val="22"/>
          <w:szCs w:val="22"/>
        </w:rPr>
        <w:t>https://doi.org/10.1177/02673231211012174</w:t>
      </w:r>
      <w:r>
        <w:rPr>
          <w:rFonts w:ascii="Aptos" w:hAnsi="Aptos"/>
          <w:color w:val="000000" w:themeColor="text1"/>
          <w:sz w:val="22"/>
          <w:szCs w:val="22"/>
        </w:rPr>
        <w:fldChar w:fldCharType="end"/>
      </w:r>
    </w:p>
    <w:p w14:paraId="4AEBDC31" w14:textId="77777777" w:rsidR="00991B57" w:rsidRDefault="00991B57" w:rsidP="0071346C">
      <w:pPr>
        <w:rPr>
          <w:rFonts w:ascii="Aptos" w:hAnsi="Aptos"/>
          <w:color w:val="000000" w:themeColor="text1"/>
          <w:sz w:val="22"/>
          <w:szCs w:val="22"/>
        </w:rPr>
      </w:pPr>
    </w:p>
    <w:p w14:paraId="61038206" w14:textId="77777777" w:rsidR="00065FFC" w:rsidRPr="00065FFC" w:rsidRDefault="00065FFC" w:rsidP="00065FFC">
      <w:pPr>
        <w:rPr>
          <w:rFonts w:ascii="Aptos" w:hAnsi="Aptos"/>
          <w:color w:val="000000" w:themeColor="text1"/>
          <w:sz w:val="22"/>
          <w:szCs w:val="22"/>
        </w:rPr>
      </w:pPr>
      <w:r w:rsidRPr="00065FFC">
        <w:rPr>
          <w:rFonts w:ascii="Aptos" w:hAnsi="Aptos"/>
          <w:color w:val="000000" w:themeColor="text1"/>
          <w:sz w:val="22"/>
          <w:szCs w:val="22"/>
        </w:rPr>
        <w:t>Aranzubia A, Gallego JI (2021) Spanish cinema in the Netflix catalog: a diversity perspective. Comunicación Y Sociedad E8030: 1–20, Available at: </w:t>
      </w:r>
      <w:hyperlink r:id="rId5" w:history="1">
        <w:r w:rsidRPr="00065FFC">
          <w:rPr>
            <w:rFonts w:ascii="Aptos" w:hAnsi="Aptos"/>
            <w:color w:val="000000" w:themeColor="text1"/>
            <w:sz w:val="22"/>
            <w:szCs w:val="22"/>
          </w:rPr>
          <w:t>https://comunicacionysociedad.cucsh.udg.mx/index.php/comsoc/article/view/e8030/6334</w:t>
        </w:r>
      </w:hyperlink>
    </w:p>
    <w:p w14:paraId="49DBD63E" w14:textId="77777777" w:rsidR="00065FFC" w:rsidRDefault="00065FFC" w:rsidP="0071346C">
      <w:pPr>
        <w:rPr>
          <w:rFonts w:ascii="Aptos" w:hAnsi="Aptos"/>
          <w:color w:val="000000" w:themeColor="text1"/>
          <w:sz w:val="22"/>
          <w:szCs w:val="22"/>
        </w:rPr>
      </w:pPr>
    </w:p>
    <w:p w14:paraId="6FB5ABB7" w14:textId="3BABD374" w:rsidR="00991B57" w:rsidRPr="0071346C" w:rsidRDefault="00991B57" w:rsidP="0071346C">
      <w:pPr>
        <w:rPr>
          <w:rFonts w:ascii="Aptos" w:hAnsi="Aptos"/>
          <w:color w:val="000000" w:themeColor="text1"/>
          <w:sz w:val="22"/>
          <w:szCs w:val="22"/>
        </w:rPr>
      </w:pPr>
      <w:r w:rsidRPr="0071346C">
        <w:rPr>
          <w:rFonts w:ascii="Aptos" w:hAnsi="Aptos"/>
          <w:color w:val="000000" w:themeColor="text1"/>
          <w:sz w:val="22"/>
          <w:szCs w:val="22"/>
        </w:rPr>
        <w:t>Baschiera, S., &amp; Re, V. (2019). National Screen Productions and Global SVOD Services: The Case of Netflix in UK and Italy. Comunicazioni Sociali. Advance online publication. https://doi.org/10.26350/001200_000028</w:t>
      </w:r>
    </w:p>
    <w:p w14:paraId="0C50EC3E" w14:textId="77777777" w:rsidR="00991B57" w:rsidRDefault="00991B57" w:rsidP="0077347E">
      <w:pPr>
        <w:rPr>
          <w:rFonts w:ascii="Aptos" w:hAnsi="Aptos"/>
          <w:color w:val="000000" w:themeColor="text1"/>
          <w:sz w:val="22"/>
          <w:szCs w:val="22"/>
        </w:rPr>
      </w:pPr>
    </w:p>
    <w:p w14:paraId="5088C9CF" w14:textId="2AB2EE01" w:rsidR="009E4971" w:rsidRPr="009E4971" w:rsidRDefault="00991B57" w:rsidP="009E4971">
      <w:pPr>
        <w:rPr>
          <w:rFonts w:ascii="Aptos" w:hAnsi="Aptos"/>
          <w:color w:val="000000" w:themeColor="text1"/>
          <w:sz w:val="22"/>
          <w:szCs w:val="22"/>
        </w:rPr>
      </w:pPr>
      <w:r w:rsidRPr="0077347E">
        <w:rPr>
          <w:rFonts w:ascii="Aptos" w:hAnsi="Aptos"/>
          <w:color w:val="000000" w:themeColor="text1"/>
          <w:sz w:val="22"/>
          <w:szCs w:val="22"/>
        </w:rPr>
        <w:t>Bengesser, C., Hilborn, M., &amp; Steemers, J. (2024). Comparative VOD catalogue research: Circulation, presence and prominence of British content Europe. Convergence, 0(0). </w:t>
      </w:r>
      <w:hyperlink r:id="rId6" w:history="1">
        <w:r w:rsidRPr="0077347E">
          <w:rPr>
            <w:rFonts w:ascii="Aptos" w:hAnsi="Aptos"/>
            <w:color w:val="000000" w:themeColor="text1"/>
            <w:sz w:val="22"/>
            <w:szCs w:val="22"/>
          </w:rPr>
          <w:t>https://doi.org/10.1177/13548565241268057</w:t>
        </w:r>
      </w:hyperlink>
    </w:p>
    <w:p w14:paraId="6DFCD8C9" w14:textId="77777777" w:rsidR="009E4971" w:rsidRDefault="009E4971" w:rsidP="009E4971">
      <w:pPr>
        <w:rPr>
          <w:rFonts w:ascii="Aptos" w:hAnsi="Aptos"/>
          <w:color w:val="000000" w:themeColor="text1"/>
          <w:sz w:val="22"/>
          <w:szCs w:val="22"/>
        </w:rPr>
      </w:pPr>
    </w:p>
    <w:p w14:paraId="138D41C5" w14:textId="5EB201D3" w:rsidR="009E4971" w:rsidRPr="009E4971" w:rsidRDefault="009E4971" w:rsidP="009E4971">
      <w:pPr>
        <w:rPr>
          <w:rFonts w:ascii="Aptos" w:hAnsi="Aptos"/>
          <w:color w:val="000000" w:themeColor="text1"/>
          <w:sz w:val="22"/>
          <w:szCs w:val="22"/>
        </w:rPr>
      </w:pPr>
      <w:r w:rsidRPr="009E4971">
        <w:rPr>
          <w:rFonts w:ascii="Aptos" w:hAnsi="Aptos"/>
          <w:color w:val="000000" w:themeColor="text1"/>
          <w:sz w:val="22"/>
          <w:szCs w:val="22"/>
        </w:rPr>
        <w:t>Bruun, H., &amp; Lassen, J. M. M. (2024). Prime Space Publishing in PSM: a comparative study across seven media markets. Paper presented at RIPE 2024, Lisbon, Portugal.</w:t>
      </w:r>
    </w:p>
    <w:p w14:paraId="5FDDCBA2" w14:textId="3C638241" w:rsidR="00991B57" w:rsidRDefault="00991B57" w:rsidP="0077347E">
      <w:pPr>
        <w:pStyle w:val="NormalWeb"/>
        <w:rPr>
          <w:rFonts w:ascii="Aptos" w:hAnsi="Aptos"/>
          <w:sz w:val="22"/>
          <w:szCs w:val="22"/>
        </w:rPr>
      </w:pPr>
      <w:r>
        <w:rPr>
          <w:rFonts w:ascii="Aptos" w:hAnsi="Aptos"/>
          <w:sz w:val="22"/>
          <w:szCs w:val="22"/>
        </w:rPr>
        <w:t xml:space="preserve">Farchy J, Bideau G and Tallec S (2022) Content quotas and prominence on VOD services: new challenges for European audiovisual regulators. </w:t>
      </w:r>
      <w:r>
        <w:rPr>
          <w:rFonts w:ascii="Aptos" w:hAnsi="Aptos"/>
          <w:i/>
          <w:iCs/>
          <w:sz w:val="22"/>
          <w:szCs w:val="22"/>
        </w:rPr>
        <w:t xml:space="preserve">International Journal of Cultural Policy </w:t>
      </w:r>
      <w:r>
        <w:rPr>
          <w:rFonts w:ascii="Aptos" w:hAnsi="Aptos"/>
          <w:sz w:val="22"/>
          <w:szCs w:val="22"/>
        </w:rPr>
        <w:t>28(4): 419–430.</w:t>
      </w:r>
    </w:p>
    <w:p w14:paraId="4F24A502" w14:textId="77777777" w:rsidR="00991B57" w:rsidRDefault="00991B57" w:rsidP="0077347E">
      <w:pPr>
        <w:pStyle w:val="NormalWeb"/>
        <w:rPr>
          <w:rFonts w:ascii="Aptos" w:hAnsi="Aptos"/>
          <w:sz w:val="22"/>
          <w:szCs w:val="22"/>
        </w:rPr>
      </w:pPr>
      <w:r>
        <w:rPr>
          <w:rFonts w:ascii="Aptos" w:hAnsi="Aptos"/>
          <w:sz w:val="22"/>
          <w:szCs w:val="22"/>
        </w:rPr>
        <w:t>García Leiva MT (2024) Audiovisual prominence and discoverability in Europe: Stakeholders’</w:t>
      </w:r>
      <w:r w:rsidRPr="0077347E">
        <w:rPr>
          <w:rFonts w:ascii="Aptos" w:hAnsi="Aptos"/>
          <w:sz w:val="22"/>
          <w:szCs w:val="22"/>
          <w:lang w:val="en-US"/>
        </w:rPr>
        <w:t xml:space="preserve"> </w:t>
      </w:r>
      <w:r>
        <w:rPr>
          <w:rFonts w:ascii="Aptos" w:hAnsi="Aptos"/>
          <w:sz w:val="22"/>
          <w:szCs w:val="22"/>
        </w:rPr>
        <w:t xml:space="preserve">alliances under construction. </w:t>
      </w:r>
      <w:r>
        <w:rPr>
          <w:rFonts w:ascii="Aptos" w:hAnsi="Aptos"/>
          <w:i/>
          <w:iCs/>
          <w:sz w:val="22"/>
          <w:szCs w:val="22"/>
        </w:rPr>
        <w:t>Convergence</w:t>
      </w:r>
      <w:r>
        <w:rPr>
          <w:rFonts w:ascii="Aptos" w:hAnsi="Aptos"/>
          <w:sz w:val="22"/>
          <w:szCs w:val="22"/>
        </w:rPr>
        <w:t xml:space="preserve">. DOI: 10.1177/13548565241260490 </w:t>
      </w:r>
    </w:p>
    <w:p w14:paraId="53532C24" w14:textId="4BDB13AB" w:rsidR="00991B57" w:rsidRDefault="00991B57" w:rsidP="0077347E">
      <w:pPr>
        <w:pStyle w:val="NormalWeb"/>
        <w:rPr>
          <w:rFonts w:ascii="Aptos" w:hAnsi="Aptos"/>
          <w:sz w:val="22"/>
          <w:szCs w:val="22"/>
        </w:rPr>
      </w:pPr>
      <w:r>
        <w:rPr>
          <w:rFonts w:ascii="Aptos" w:hAnsi="Aptos"/>
          <w:sz w:val="22"/>
          <w:szCs w:val="22"/>
        </w:rPr>
        <w:t xml:space="preserve">Iordache C, Loisen J and Audenhove LV (2023) Integrating discoverability and prominence in video-on-demand consumption choices. A qualitative user study in Belgium. </w:t>
      </w:r>
      <w:r>
        <w:rPr>
          <w:rFonts w:ascii="Aptos" w:hAnsi="Aptos"/>
          <w:i/>
          <w:iCs/>
          <w:sz w:val="22"/>
          <w:szCs w:val="22"/>
        </w:rPr>
        <w:t>International Communication Gazette</w:t>
      </w:r>
      <w:r>
        <w:rPr>
          <w:rFonts w:ascii="Aptos" w:hAnsi="Aptos"/>
          <w:sz w:val="22"/>
          <w:szCs w:val="22"/>
        </w:rPr>
        <w:t xml:space="preserve">: 1–23. DOI: 10.1177/17480485231191898. </w:t>
      </w:r>
    </w:p>
    <w:p w14:paraId="38D14DCD" w14:textId="77777777" w:rsidR="00991B57" w:rsidRPr="0077347E" w:rsidRDefault="00991B57" w:rsidP="0077347E">
      <w:pPr>
        <w:ind w:right="878"/>
        <w:jc w:val="both"/>
        <w:rPr>
          <w:rFonts w:ascii="Aptos" w:hAnsi="Aptos"/>
          <w:color w:val="000000" w:themeColor="text1"/>
          <w:sz w:val="22"/>
          <w:szCs w:val="22"/>
        </w:rPr>
      </w:pPr>
      <w:r w:rsidRPr="0077347E">
        <w:rPr>
          <w:rFonts w:ascii="Aptos" w:hAnsi="Aptos"/>
          <w:color w:val="000000" w:themeColor="text1"/>
          <w:sz w:val="22"/>
          <w:szCs w:val="22"/>
        </w:rPr>
        <w:t xml:space="preserve">Iordache, C. &amp; Raats, T. (2023). The platformization of public service media: A comparative analysis of five BVOD services in Western and Northern Europe. In: International Journal of Media and Cultural Politics, 9(1): 3-22. </w:t>
      </w:r>
      <w:hyperlink r:id="rId7" w:history="1">
        <w:r w:rsidRPr="0077347E">
          <w:rPr>
            <w:rFonts w:ascii="Aptos" w:hAnsi="Aptos"/>
            <w:color w:val="000000" w:themeColor="text1"/>
            <w:sz w:val="22"/>
            <w:szCs w:val="22"/>
          </w:rPr>
          <w:t>doi.org/10.1386/macp_00070_1</w:t>
        </w:r>
      </w:hyperlink>
      <w:r w:rsidRPr="0077347E">
        <w:rPr>
          <w:rFonts w:ascii="Aptos" w:hAnsi="Aptos"/>
          <w:color w:val="000000" w:themeColor="text1"/>
          <w:sz w:val="22"/>
          <w:szCs w:val="22"/>
        </w:rPr>
        <w:t>.</w:t>
      </w:r>
    </w:p>
    <w:p w14:paraId="2CEE5CCD" w14:textId="77777777" w:rsidR="00991B57" w:rsidRDefault="00991B57" w:rsidP="0077347E">
      <w:pPr>
        <w:ind w:right="878"/>
        <w:jc w:val="both"/>
        <w:rPr>
          <w:rFonts w:ascii="Aptos" w:hAnsi="Aptos"/>
          <w:color w:val="000000" w:themeColor="text1"/>
          <w:sz w:val="22"/>
          <w:szCs w:val="22"/>
        </w:rPr>
      </w:pPr>
    </w:p>
    <w:p w14:paraId="50A27A74" w14:textId="53061F5F" w:rsidR="00991B57" w:rsidRPr="0077347E" w:rsidRDefault="00991B57" w:rsidP="0077347E">
      <w:pPr>
        <w:ind w:right="878"/>
        <w:jc w:val="both"/>
        <w:rPr>
          <w:rFonts w:ascii="Aptos" w:hAnsi="Aptos"/>
          <w:color w:val="000000" w:themeColor="text1"/>
          <w:sz w:val="22"/>
          <w:szCs w:val="22"/>
        </w:rPr>
      </w:pPr>
      <w:r w:rsidRPr="0077347E">
        <w:rPr>
          <w:rFonts w:ascii="Aptos" w:hAnsi="Aptos"/>
          <w:color w:val="000000" w:themeColor="text1"/>
          <w:sz w:val="22"/>
          <w:szCs w:val="22"/>
        </w:rPr>
        <w:t>Ior</w:t>
      </w:r>
      <w:r>
        <w:rPr>
          <w:rFonts w:ascii="Aptos" w:hAnsi="Aptos"/>
          <w:color w:val="000000" w:themeColor="text1"/>
          <w:sz w:val="22"/>
          <w:szCs w:val="22"/>
          <w:lang w:val="nl-NL"/>
        </w:rPr>
        <w:t>d</w:t>
      </w:r>
      <w:r w:rsidRPr="0077347E">
        <w:rPr>
          <w:rFonts w:ascii="Aptos" w:hAnsi="Aptos"/>
          <w:color w:val="000000" w:themeColor="text1"/>
          <w:sz w:val="22"/>
          <w:szCs w:val="22"/>
        </w:rPr>
        <w:t xml:space="preserve">ache, C., Garcia Leiva, T. &amp; T. Raats (2024). Stranger Tools: Exploring methodological approaches to assessing prominence and discoverability. Paper </w:t>
      </w:r>
      <w:r w:rsidRPr="0077347E">
        <w:rPr>
          <w:rFonts w:ascii="Aptos" w:hAnsi="Aptos"/>
          <w:color w:val="000000" w:themeColor="text1"/>
          <w:sz w:val="22"/>
          <w:szCs w:val="22"/>
        </w:rPr>
        <w:lastRenderedPageBreak/>
        <w:t>presented at Innovative Methods for Video-On-Demand Research, 12th September, Utrecht University</w:t>
      </w:r>
    </w:p>
    <w:p w14:paraId="4182D3DA" w14:textId="77777777" w:rsidR="00991B57" w:rsidRDefault="00991B57" w:rsidP="005744F4">
      <w:pPr>
        <w:ind w:right="878"/>
        <w:jc w:val="both"/>
        <w:rPr>
          <w:rFonts w:ascii="Aptos" w:hAnsi="Aptos"/>
          <w:sz w:val="22"/>
          <w:szCs w:val="22"/>
        </w:rPr>
      </w:pPr>
    </w:p>
    <w:p w14:paraId="04408AD6" w14:textId="1F8B63DD" w:rsidR="00991B57" w:rsidRPr="005744F4" w:rsidRDefault="00991B57" w:rsidP="005744F4">
      <w:pPr>
        <w:ind w:right="878"/>
        <w:jc w:val="both"/>
        <w:rPr>
          <w:rFonts w:ascii="Aptos" w:hAnsi="Aptos"/>
          <w:sz w:val="22"/>
          <w:szCs w:val="22"/>
        </w:rPr>
      </w:pPr>
      <w:r w:rsidRPr="005744F4">
        <w:rPr>
          <w:rFonts w:ascii="Aptos" w:hAnsi="Aptos"/>
          <w:sz w:val="22"/>
          <w:szCs w:val="22"/>
        </w:rPr>
        <w:t>Iordache, C., Raats, T. &amp; S. Mombaerts (2023). The Netflix original documentaries, explained: investment patterns in documentary film and television series. In: Studies in documentary film, 17(2): 151-171.</w:t>
      </w:r>
    </w:p>
    <w:p w14:paraId="3B1AED4A" w14:textId="77777777" w:rsidR="00991B57" w:rsidRPr="0077347E" w:rsidRDefault="00991B57" w:rsidP="0077347E">
      <w:pPr>
        <w:pStyle w:val="NormalWeb"/>
        <w:rPr>
          <w:rFonts w:ascii="Aptos" w:hAnsi="Aptos"/>
          <w:sz w:val="22"/>
          <w:szCs w:val="22"/>
        </w:rPr>
      </w:pPr>
      <w:r w:rsidRPr="0077347E">
        <w:rPr>
          <w:rFonts w:ascii="Aptos" w:hAnsi="Aptos"/>
          <w:sz w:val="22"/>
          <w:szCs w:val="22"/>
        </w:rPr>
        <w:t xml:space="preserve">Iordache, T., Raats, T., Pakvis, M., Asmar, A. (2023). Piecing the puzzle of VoD offerings: A comparison of eight US and local services in Flanders (2023-11-30). In: journal of digital media &amp; policy, 14 (3), 357-376, doi.org/10.1386/jdmp_00134_1. </w:t>
      </w:r>
    </w:p>
    <w:p w14:paraId="45028F32" w14:textId="371D1194" w:rsidR="009E7A81" w:rsidRDefault="009E7A81" w:rsidP="0077347E">
      <w:pPr>
        <w:pStyle w:val="NormalWeb"/>
        <w:rPr>
          <w:rFonts w:ascii="Aptos" w:hAnsi="Aptos"/>
          <w:sz w:val="22"/>
          <w:szCs w:val="22"/>
        </w:rPr>
      </w:pPr>
      <w:r w:rsidRPr="009E7A81">
        <w:rPr>
          <w:rFonts w:ascii="Aptos" w:hAnsi="Aptos"/>
          <w:sz w:val="22"/>
          <w:szCs w:val="22"/>
        </w:rPr>
        <w:t xml:space="preserve">Lobato, R., Scarlata, A., &amp; Wils, T. (2024). Video-on-demand catalog and interface analysis: The state of research methods. Convergence, 0(0). </w:t>
      </w:r>
      <w:hyperlink r:id="rId8" w:history="1">
        <w:r w:rsidRPr="006A7C7D">
          <w:rPr>
            <w:rStyle w:val="Hyperlink"/>
            <w:rFonts w:ascii="Aptos" w:hAnsi="Aptos"/>
            <w:sz w:val="22"/>
            <w:szCs w:val="22"/>
          </w:rPr>
          <w:t>https://doi.org/10.1177/13548565241261992</w:t>
        </w:r>
      </w:hyperlink>
    </w:p>
    <w:p w14:paraId="130DF68B" w14:textId="41ED3B23" w:rsidR="00991B57" w:rsidRDefault="00991B57" w:rsidP="0077347E">
      <w:pPr>
        <w:pStyle w:val="NormalWeb"/>
      </w:pPr>
      <w:r>
        <w:rPr>
          <w:rFonts w:ascii="Aptos" w:hAnsi="Aptos"/>
          <w:sz w:val="22"/>
          <w:szCs w:val="22"/>
        </w:rPr>
        <w:t>Lobato</w:t>
      </w:r>
      <w:r w:rsidRPr="0077347E">
        <w:rPr>
          <w:rFonts w:ascii="Aptos" w:hAnsi="Aptos"/>
          <w:sz w:val="22"/>
          <w:szCs w:val="22"/>
          <w:lang w:val="en-US"/>
        </w:rPr>
        <w:t xml:space="preserve"> </w:t>
      </w:r>
      <w:r>
        <w:rPr>
          <w:rFonts w:ascii="Aptos" w:hAnsi="Aptos"/>
          <w:sz w:val="22"/>
          <w:szCs w:val="22"/>
        </w:rPr>
        <w:t xml:space="preserve">R and Scarlata A (2022) Regulating Discoverability in Subscription Video-on-Demand Services. In: Flew T and Martin FR (eds) </w:t>
      </w:r>
      <w:r>
        <w:rPr>
          <w:rFonts w:ascii="Aptos" w:hAnsi="Aptos"/>
          <w:i/>
          <w:iCs/>
          <w:sz w:val="22"/>
          <w:szCs w:val="22"/>
        </w:rPr>
        <w:t xml:space="preserve">Digital Platform Regulation: Global Perspectives on Internet Governance. </w:t>
      </w:r>
      <w:r>
        <w:rPr>
          <w:rFonts w:ascii="Aptos" w:hAnsi="Aptos"/>
          <w:sz w:val="22"/>
          <w:szCs w:val="22"/>
        </w:rPr>
        <w:t xml:space="preserve">Cham: Springer International Publishing, pp. 209–227. </w:t>
      </w:r>
    </w:p>
    <w:p w14:paraId="19B7F0FD" w14:textId="77777777" w:rsidR="00991B57" w:rsidRDefault="00991B57">
      <w:pPr>
        <w:rPr>
          <w:rFonts w:ascii="Aptos" w:hAnsi="Aptos"/>
          <w:color w:val="000000" w:themeColor="text1"/>
          <w:sz w:val="22"/>
          <w:szCs w:val="22"/>
        </w:rPr>
      </w:pPr>
      <w:r w:rsidRPr="00991B57">
        <w:rPr>
          <w:rFonts w:ascii="Aptos" w:hAnsi="Aptos"/>
          <w:color w:val="000000" w:themeColor="text1"/>
          <w:sz w:val="22"/>
          <w:szCs w:val="22"/>
        </w:rPr>
        <w:t xml:space="preserve">Navarro, C., &amp; Monclús, B. (2021). The curation of European Netflix catalogues on social media: The key role of transnational and local cultural traits. Critical Studies in Television, 16(4), 347-374. </w:t>
      </w:r>
      <w:hyperlink r:id="rId9" w:history="1">
        <w:r w:rsidRPr="006A7C7D">
          <w:rPr>
            <w:rStyle w:val="Hyperlink"/>
            <w:rFonts w:ascii="Aptos" w:hAnsi="Aptos"/>
            <w:sz w:val="22"/>
            <w:szCs w:val="22"/>
          </w:rPr>
          <w:t>https://doi.org/10.1177/17496020211044444</w:t>
        </w:r>
      </w:hyperlink>
    </w:p>
    <w:p w14:paraId="717FBB4C" w14:textId="77777777" w:rsidR="00991B57" w:rsidRDefault="00991B57" w:rsidP="00991B57">
      <w:pPr>
        <w:ind w:right="878"/>
        <w:jc w:val="both"/>
        <w:rPr>
          <w:rFonts w:ascii="Aptos" w:hAnsi="Aptos"/>
          <w:color w:val="000000" w:themeColor="text1"/>
          <w:sz w:val="22"/>
          <w:szCs w:val="22"/>
        </w:rPr>
      </w:pPr>
    </w:p>
    <w:p w14:paraId="29219869" w14:textId="617C1D5F" w:rsidR="00991B57" w:rsidRPr="00991B57" w:rsidRDefault="00991B57" w:rsidP="00991B57">
      <w:pPr>
        <w:ind w:right="878"/>
        <w:jc w:val="both"/>
        <w:rPr>
          <w:rFonts w:ascii="Aptos" w:hAnsi="Aptos"/>
          <w:color w:val="000000" w:themeColor="text1"/>
          <w:sz w:val="22"/>
          <w:szCs w:val="22"/>
        </w:rPr>
      </w:pPr>
      <w:r w:rsidRPr="00991B57">
        <w:rPr>
          <w:rFonts w:ascii="Aptos" w:hAnsi="Aptos"/>
          <w:color w:val="000000" w:themeColor="text1"/>
          <w:sz w:val="22"/>
          <w:szCs w:val="22"/>
        </w:rPr>
        <w:t xml:space="preserve">Ranaivoson, </w:t>
      </w:r>
      <w:r w:rsidRPr="00991B57">
        <w:rPr>
          <w:rFonts w:ascii="Aptos" w:hAnsi="Aptos"/>
          <w:color w:val="000000" w:themeColor="text1"/>
          <w:sz w:val="22"/>
          <w:szCs w:val="22"/>
          <w:lang w:val="en-US"/>
        </w:rPr>
        <w:t xml:space="preserve">H., </w:t>
      </w:r>
      <w:r w:rsidRPr="00991B57">
        <w:rPr>
          <w:rFonts w:ascii="Aptos" w:hAnsi="Aptos"/>
          <w:color w:val="000000" w:themeColor="text1"/>
          <w:sz w:val="22"/>
          <w:szCs w:val="22"/>
        </w:rPr>
        <w:t>Broughton Micova, S. &amp; Raats, T., (2023). European Audiovisual Policy in transition. Milton Park : Routledge.</w:t>
      </w:r>
    </w:p>
    <w:p w14:paraId="1D47AB1C" w14:textId="77777777" w:rsidR="00991B57" w:rsidRDefault="00991B57">
      <w:pPr>
        <w:rPr>
          <w:rFonts w:ascii="Aptos" w:hAnsi="Aptos"/>
          <w:color w:val="000000" w:themeColor="text1"/>
          <w:sz w:val="22"/>
          <w:szCs w:val="22"/>
        </w:rPr>
      </w:pPr>
    </w:p>
    <w:p w14:paraId="40A4E01E" w14:textId="2EA223E4" w:rsidR="00991B57" w:rsidRDefault="00991B57">
      <w:pPr>
        <w:rPr>
          <w:rFonts w:ascii="Aptos" w:hAnsi="Aptos"/>
          <w:color w:val="000000" w:themeColor="text1"/>
          <w:sz w:val="22"/>
          <w:szCs w:val="22"/>
        </w:rPr>
      </w:pPr>
      <w:r w:rsidRPr="0071346C">
        <w:rPr>
          <w:rFonts w:ascii="Aptos" w:hAnsi="Aptos"/>
          <w:color w:val="000000" w:themeColor="text1"/>
          <w:sz w:val="22"/>
          <w:szCs w:val="22"/>
        </w:rPr>
        <w:t>Scarlata, A., &amp; Lobato, R. (2023). Broadcaster video-on-demand  in Australia: Platforms, policy  and local content. Media International Australia, 0(0). https://doi.org/10.1177/1329878X231177122</w:t>
      </w:r>
    </w:p>
    <w:p w14:paraId="7E6C65D4" w14:textId="77777777" w:rsidR="00991B57" w:rsidRDefault="00991B57" w:rsidP="00991B57">
      <w:pPr>
        <w:rPr>
          <w:rFonts w:ascii="Aptos" w:hAnsi="Aptos"/>
          <w:color w:val="000000" w:themeColor="text1"/>
          <w:sz w:val="22"/>
          <w:szCs w:val="22"/>
        </w:rPr>
      </w:pPr>
    </w:p>
    <w:p w14:paraId="1036C04F" w14:textId="4C414121" w:rsidR="00991B57" w:rsidRPr="00991B57" w:rsidRDefault="00991B57" w:rsidP="00991B57">
      <w:pPr>
        <w:rPr>
          <w:rFonts w:ascii="Aptos" w:hAnsi="Aptos"/>
          <w:color w:val="000000" w:themeColor="text1"/>
          <w:sz w:val="22"/>
          <w:szCs w:val="22"/>
        </w:rPr>
      </w:pPr>
      <w:r w:rsidRPr="00991B57">
        <w:rPr>
          <w:rFonts w:ascii="Aptos" w:hAnsi="Aptos"/>
          <w:color w:val="000000" w:themeColor="text1"/>
          <w:sz w:val="22"/>
          <w:szCs w:val="22"/>
        </w:rPr>
        <w:t>Smits, R. (2022, 12 15). Circulation Patterns, Abundance and Scarcity: Film Availability in the Online Era. Media Industries 9(2) doi: 10.3998/mij.1875</w:t>
      </w:r>
    </w:p>
    <w:p w14:paraId="7C5A552D" w14:textId="77777777" w:rsidR="0077347E" w:rsidRDefault="0077347E"/>
    <w:sectPr w:rsidR="0077347E" w:rsidSect="00770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enturyGoth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A95"/>
    <w:multiLevelType w:val="hybridMultilevel"/>
    <w:tmpl w:val="54AA5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E0076"/>
    <w:multiLevelType w:val="hybridMultilevel"/>
    <w:tmpl w:val="BDBEB0BE"/>
    <w:lvl w:ilvl="0" w:tplc="E2AA2D78">
      <w:start w:val="1"/>
      <w:numFmt w:val="bullet"/>
      <w:lvlText w:val="•"/>
      <w:lvlJc w:val="left"/>
      <w:pPr>
        <w:tabs>
          <w:tab w:val="num" w:pos="720"/>
        </w:tabs>
        <w:ind w:left="720" w:hanging="360"/>
      </w:pPr>
      <w:rPr>
        <w:rFonts w:ascii="Arial" w:hAnsi="Arial" w:hint="default"/>
      </w:rPr>
    </w:lvl>
    <w:lvl w:ilvl="1" w:tplc="9F38A72C" w:tentative="1">
      <w:start w:val="1"/>
      <w:numFmt w:val="bullet"/>
      <w:lvlText w:val="•"/>
      <w:lvlJc w:val="left"/>
      <w:pPr>
        <w:tabs>
          <w:tab w:val="num" w:pos="1440"/>
        </w:tabs>
        <w:ind w:left="1440" w:hanging="360"/>
      </w:pPr>
      <w:rPr>
        <w:rFonts w:ascii="Arial" w:hAnsi="Arial" w:hint="default"/>
      </w:rPr>
    </w:lvl>
    <w:lvl w:ilvl="2" w:tplc="ED46253C" w:tentative="1">
      <w:start w:val="1"/>
      <w:numFmt w:val="bullet"/>
      <w:lvlText w:val="•"/>
      <w:lvlJc w:val="left"/>
      <w:pPr>
        <w:tabs>
          <w:tab w:val="num" w:pos="2160"/>
        </w:tabs>
        <w:ind w:left="2160" w:hanging="360"/>
      </w:pPr>
      <w:rPr>
        <w:rFonts w:ascii="Arial" w:hAnsi="Arial" w:hint="default"/>
      </w:rPr>
    </w:lvl>
    <w:lvl w:ilvl="3" w:tplc="FA6E1306" w:tentative="1">
      <w:start w:val="1"/>
      <w:numFmt w:val="bullet"/>
      <w:lvlText w:val="•"/>
      <w:lvlJc w:val="left"/>
      <w:pPr>
        <w:tabs>
          <w:tab w:val="num" w:pos="2880"/>
        </w:tabs>
        <w:ind w:left="2880" w:hanging="360"/>
      </w:pPr>
      <w:rPr>
        <w:rFonts w:ascii="Arial" w:hAnsi="Arial" w:hint="default"/>
      </w:rPr>
    </w:lvl>
    <w:lvl w:ilvl="4" w:tplc="12A24C5C" w:tentative="1">
      <w:start w:val="1"/>
      <w:numFmt w:val="bullet"/>
      <w:lvlText w:val="•"/>
      <w:lvlJc w:val="left"/>
      <w:pPr>
        <w:tabs>
          <w:tab w:val="num" w:pos="3600"/>
        </w:tabs>
        <w:ind w:left="3600" w:hanging="360"/>
      </w:pPr>
      <w:rPr>
        <w:rFonts w:ascii="Arial" w:hAnsi="Arial" w:hint="default"/>
      </w:rPr>
    </w:lvl>
    <w:lvl w:ilvl="5" w:tplc="E5FC8FF0" w:tentative="1">
      <w:start w:val="1"/>
      <w:numFmt w:val="bullet"/>
      <w:lvlText w:val="•"/>
      <w:lvlJc w:val="left"/>
      <w:pPr>
        <w:tabs>
          <w:tab w:val="num" w:pos="4320"/>
        </w:tabs>
        <w:ind w:left="4320" w:hanging="360"/>
      </w:pPr>
      <w:rPr>
        <w:rFonts w:ascii="Arial" w:hAnsi="Arial" w:hint="default"/>
      </w:rPr>
    </w:lvl>
    <w:lvl w:ilvl="6" w:tplc="766EDE5E" w:tentative="1">
      <w:start w:val="1"/>
      <w:numFmt w:val="bullet"/>
      <w:lvlText w:val="•"/>
      <w:lvlJc w:val="left"/>
      <w:pPr>
        <w:tabs>
          <w:tab w:val="num" w:pos="5040"/>
        </w:tabs>
        <w:ind w:left="5040" w:hanging="360"/>
      </w:pPr>
      <w:rPr>
        <w:rFonts w:ascii="Arial" w:hAnsi="Arial" w:hint="default"/>
      </w:rPr>
    </w:lvl>
    <w:lvl w:ilvl="7" w:tplc="4108447E" w:tentative="1">
      <w:start w:val="1"/>
      <w:numFmt w:val="bullet"/>
      <w:lvlText w:val="•"/>
      <w:lvlJc w:val="left"/>
      <w:pPr>
        <w:tabs>
          <w:tab w:val="num" w:pos="5760"/>
        </w:tabs>
        <w:ind w:left="5760" w:hanging="360"/>
      </w:pPr>
      <w:rPr>
        <w:rFonts w:ascii="Arial" w:hAnsi="Arial" w:hint="default"/>
      </w:rPr>
    </w:lvl>
    <w:lvl w:ilvl="8" w:tplc="1A2EBA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266F58"/>
    <w:multiLevelType w:val="hybridMultilevel"/>
    <w:tmpl w:val="9DC4CFDA"/>
    <w:lvl w:ilvl="0" w:tplc="9C50555C">
      <w:start w:val="1"/>
      <w:numFmt w:val="bullet"/>
      <w:lvlText w:val="•"/>
      <w:lvlJc w:val="left"/>
      <w:pPr>
        <w:tabs>
          <w:tab w:val="num" w:pos="720"/>
        </w:tabs>
        <w:ind w:left="720" w:hanging="360"/>
      </w:pPr>
      <w:rPr>
        <w:rFonts w:ascii="Arial" w:hAnsi="Arial" w:hint="default"/>
      </w:rPr>
    </w:lvl>
    <w:lvl w:ilvl="1" w:tplc="40741B1E" w:tentative="1">
      <w:start w:val="1"/>
      <w:numFmt w:val="bullet"/>
      <w:lvlText w:val="•"/>
      <w:lvlJc w:val="left"/>
      <w:pPr>
        <w:tabs>
          <w:tab w:val="num" w:pos="1440"/>
        </w:tabs>
        <w:ind w:left="1440" w:hanging="360"/>
      </w:pPr>
      <w:rPr>
        <w:rFonts w:ascii="Arial" w:hAnsi="Arial" w:hint="default"/>
      </w:rPr>
    </w:lvl>
    <w:lvl w:ilvl="2" w:tplc="962CBA1A" w:tentative="1">
      <w:start w:val="1"/>
      <w:numFmt w:val="bullet"/>
      <w:lvlText w:val="•"/>
      <w:lvlJc w:val="left"/>
      <w:pPr>
        <w:tabs>
          <w:tab w:val="num" w:pos="2160"/>
        </w:tabs>
        <w:ind w:left="2160" w:hanging="360"/>
      </w:pPr>
      <w:rPr>
        <w:rFonts w:ascii="Arial" w:hAnsi="Arial" w:hint="default"/>
      </w:rPr>
    </w:lvl>
    <w:lvl w:ilvl="3" w:tplc="EE968166" w:tentative="1">
      <w:start w:val="1"/>
      <w:numFmt w:val="bullet"/>
      <w:lvlText w:val="•"/>
      <w:lvlJc w:val="left"/>
      <w:pPr>
        <w:tabs>
          <w:tab w:val="num" w:pos="2880"/>
        </w:tabs>
        <w:ind w:left="2880" w:hanging="360"/>
      </w:pPr>
      <w:rPr>
        <w:rFonts w:ascii="Arial" w:hAnsi="Arial" w:hint="default"/>
      </w:rPr>
    </w:lvl>
    <w:lvl w:ilvl="4" w:tplc="984E7F98" w:tentative="1">
      <w:start w:val="1"/>
      <w:numFmt w:val="bullet"/>
      <w:lvlText w:val="•"/>
      <w:lvlJc w:val="left"/>
      <w:pPr>
        <w:tabs>
          <w:tab w:val="num" w:pos="3600"/>
        </w:tabs>
        <w:ind w:left="3600" w:hanging="360"/>
      </w:pPr>
      <w:rPr>
        <w:rFonts w:ascii="Arial" w:hAnsi="Arial" w:hint="default"/>
      </w:rPr>
    </w:lvl>
    <w:lvl w:ilvl="5" w:tplc="59081CB2" w:tentative="1">
      <w:start w:val="1"/>
      <w:numFmt w:val="bullet"/>
      <w:lvlText w:val="•"/>
      <w:lvlJc w:val="left"/>
      <w:pPr>
        <w:tabs>
          <w:tab w:val="num" w:pos="4320"/>
        </w:tabs>
        <w:ind w:left="4320" w:hanging="360"/>
      </w:pPr>
      <w:rPr>
        <w:rFonts w:ascii="Arial" w:hAnsi="Arial" w:hint="default"/>
      </w:rPr>
    </w:lvl>
    <w:lvl w:ilvl="6" w:tplc="5A2831B6" w:tentative="1">
      <w:start w:val="1"/>
      <w:numFmt w:val="bullet"/>
      <w:lvlText w:val="•"/>
      <w:lvlJc w:val="left"/>
      <w:pPr>
        <w:tabs>
          <w:tab w:val="num" w:pos="5040"/>
        </w:tabs>
        <w:ind w:left="5040" w:hanging="360"/>
      </w:pPr>
      <w:rPr>
        <w:rFonts w:ascii="Arial" w:hAnsi="Arial" w:hint="default"/>
      </w:rPr>
    </w:lvl>
    <w:lvl w:ilvl="7" w:tplc="61B275DA" w:tentative="1">
      <w:start w:val="1"/>
      <w:numFmt w:val="bullet"/>
      <w:lvlText w:val="•"/>
      <w:lvlJc w:val="left"/>
      <w:pPr>
        <w:tabs>
          <w:tab w:val="num" w:pos="5760"/>
        </w:tabs>
        <w:ind w:left="5760" w:hanging="360"/>
      </w:pPr>
      <w:rPr>
        <w:rFonts w:ascii="Arial" w:hAnsi="Arial" w:hint="default"/>
      </w:rPr>
    </w:lvl>
    <w:lvl w:ilvl="8" w:tplc="B934AC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0B691D"/>
    <w:multiLevelType w:val="hybridMultilevel"/>
    <w:tmpl w:val="54AA5EC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CF"/>
    <w:rsid w:val="0006212C"/>
    <w:rsid w:val="00065FFC"/>
    <w:rsid w:val="000F2DD1"/>
    <w:rsid w:val="00115324"/>
    <w:rsid w:val="001215AB"/>
    <w:rsid w:val="00164D54"/>
    <w:rsid w:val="00175FB2"/>
    <w:rsid w:val="00202FF5"/>
    <w:rsid w:val="002124DE"/>
    <w:rsid w:val="00214129"/>
    <w:rsid w:val="002E792E"/>
    <w:rsid w:val="004562A4"/>
    <w:rsid w:val="004B0F8F"/>
    <w:rsid w:val="004C276F"/>
    <w:rsid w:val="0051633C"/>
    <w:rsid w:val="005744F4"/>
    <w:rsid w:val="00611F82"/>
    <w:rsid w:val="00642ECF"/>
    <w:rsid w:val="006A20C6"/>
    <w:rsid w:val="006C0A0B"/>
    <w:rsid w:val="006F5163"/>
    <w:rsid w:val="007042C5"/>
    <w:rsid w:val="0071346C"/>
    <w:rsid w:val="00770AC1"/>
    <w:rsid w:val="0077347E"/>
    <w:rsid w:val="00774D9C"/>
    <w:rsid w:val="007E14BF"/>
    <w:rsid w:val="00804CA2"/>
    <w:rsid w:val="00852F9B"/>
    <w:rsid w:val="008E1B57"/>
    <w:rsid w:val="00906B2D"/>
    <w:rsid w:val="00991B57"/>
    <w:rsid w:val="009E4971"/>
    <w:rsid w:val="009E7A81"/>
    <w:rsid w:val="00A17D1A"/>
    <w:rsid w:val="00A7657D"/>
    <w:rsid w:val="00A907C8"/>
    <w:rsid w:val="00B17DB6"/>
    <w:rsid w:val="00B85439"/>
    <w:rsid w:val="00BB390F"/>
    <w:rsid w:val="00BD00EF"/>
    <w:rsid w:val="00C41962"/>
    <w:rsid w:val="00C9140C"/>
    <w:rsid w:val="00CD5195"/>
    <w:rsid w:val="00D1231D"/>
    <w:rsid w:val="00D877CB"/>
    <w:rsid w:val="00DE16F2"/>
    <w:rsid w:val="00E14FB5"/>
    <w:rsid w:val="00E3090B"/>
    <w:rsid w:val="00E40121"/>
    <w:rsid w:val="00E54930"/>
    <w:rsid w:val="00E62AC8"/>
    <w:rsid w:val="00E71CC3"/>
    <w:rsid w:val="00F20BE2"/>
    <w:rsid w:val="00FB0D9A"/>
    <w:rsid w:val="00FB4C0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11C4"/>
  <w15:chartTrackingRefBased/>
  <w15:docId w15:val="{92D79933-509B-8648-8A5F-E6762949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7E"/>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ECF"/>
    <w:pPr>
      <w:spacing w:before="100" w:beforeAutospacing="1" w:after="100" w:afterAutospacing="1"/>
    </w:pPr>
  </w:style>
  <w:style w:type="character" w:customStyle="1" w:styleId="apple-converted-space">
    <w:name w:val="apple-converted-space"/>
    <w:basedOn w:val="DefaultParagraphFont"/>
    <w:rsid w:val="0077347E"/>
  </w:style>
  <w:style w:type="character" w:styleId="Hyperlink">
    <w:name w:val="Hyperlink"/>
    <w:basedOn w:val="DefaultParagraphFont"/>
    <w:uiPriority w:val="99"/>
    <w:unhideWhenUsed/>
    <w:rsid w:val="0077347E"/>
    <w:rPr>
      <w:color w:val="0000FF"/>
      <w:u w:val="single"/>
    </w:rPr>
  </w:style>
  <w:style w:type="character" w:styleId="UnresolvedMention">
    <w:name w:val="Unresolved Mention"/>
    <w:basedOn w:val="DefaultParagraphFont"/>
    <w:uiPriority w:val="99"/>
    <w:semiHidden/>
    <w:unhideWhenUsed/>
    <w:rsid w:val="005744F4"/>
    <w:rPr>
      <w:color w:val="605E5C"/>
      <w:shd w:val="clear" w:color="auto" w:fill="E1DFDD"/>
    </w:rPr>
  </w:style>
  <w:style w:type="character" w:styleId="Emphasis">
    <w:name w:val="Emphasis"/>
    <w:basedOn w:val="DefaultParagraphFont"/>
    <w:uiPriority w:val="20"/>
    <w:qFormat/>
    <w:rsid w:val="0071346C"/>
    <w:rPr>
      <w:i/>
      <w:iCs/>
    </w:rPr>
  </w:style>
  <w:style w:type="character" w:styleId="FollowedHyperlink">
    <w:name w:val="FollowedHyperlink"/>
    <w:basedOn w:val="DefaultParagraphFont"/>
    <w:uiPriority w:val="99"/>
    <w:semiHidden/>
    <w:unhideWhenUsed/>
    <w:rsid w:val="00991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8121">
      <w:bodyDiv w:val="1"/>
      <w:marLeft w:val="0"/>
      <w:marRight w:val="0"/>
      <w:marTop w:val="0"/>
      <w:marBottom w:val="0"/>
      <w:divBdr>
        <w:top w:val="none" w:sz="0" w:space="0" w:color="auto"/>
        <w:left w:val="none" w:sz="0" w:space="0" w:color="auto"/>
        <w:bottom w:val="none" w:sz="0" w:space="0" w:color="auto"/>
        <w:right w:val="none" w:sz="0" w:space="0" w:color="auto"/>
      </w:divBdr>
    </w:div>
    <w:div w:id="136341895">
      <w:bodyDiv w:val="1"/>
      <w:marLeft w:val="0"/>
      <w:marRight w:val="0"/>
      <w:marTop w:val="0"/>
      <w:marBottom w:val="0"/>
      <w:divBdr>
        <w:top w:val="none" w:sz="0" w:space="0" w:color="auto"/>
        <w:left w:val="none" w:sz="0" w:space="0" w:color="auto"/>
        <w:bottom w:val="none" w:sz="0" w:space="0" w:color="auto"/>
        <w:right w:val="none" w:sz="0" w:space="0" w:color="auto"/>
      </w:divBdr>
    </w:div>
    <w:div w:id="248774887">
      <w:bodyDiv w:val="1"/>
      <w:marLeft w:val="0"/>
      <w:marRight w:val="0"/>
      <w:marTop w:val="0"/>
      <w:marBottom w:val="0"/>
      <w:divBdr>
        <w:top w:val="none" w:sz="0" w:space="0" w:color="auto"/>
        <w:left w:val="none" w:sz="0" w:space="0" w:color="auto"/>
        <w:bottom w:val="none" w:sz="0" w:space="0" w:color="auto"/>
        <w:right w:val="none" w:sz="0" w:space="0" w:color="auto"/>
      </w:divBdr>
      <w:divsChild>
        <w:div w:id="1127704407">
          <w:marLeft w:val="360"/>
          <w:marRight w:val="0"/>
          <w:marTop w:val="200"/>
          <w:marBottom w:val="0"/>
          <w:divBdr>
            <w:top w:val="none" w:sz="0" w:space="0" w:color="auto"/>
            <w:left w:val="none" w:sz="0" w:space="0" w:color="auto"/>
            <w:bottom w:val="none" w:sz="0" w:space="0" w:color="auto"/>
            <w:right w:val="none" w:sz="0" w:space="0" w:color="auto"/>
          </w:divBdr>
        </w:div>
      </w:divsChild>
    </w:div>
    <w:div w:id="277641391">
      <w:bodyDiv w:val="1"/>
      <w:marLeft w:val="0"/>
      <w:marRight w:val="0"/>
      <w:marTop w:val="0"/>
      <w:marBottom w:val="0"/>
      <w:divBdr>
        <w:top w:val="none" w:sz="0" w:space="0" w:color="auto"/>
        <w:left w:val="none" w:sz="0" w:space="0" w:color="auto"/>
        <w:bottom w:val="none" w:sz="0" w:space="0" w:color="auto"/>
        <w:right w:val="none" w:sz="0" w:space="0" w:color="auto"/>
      </w:divBdr>
    </w:div>
    <w:div w:id="280452592">
      <w:bodyDiv w:val="1"/>
      <w:marLeft w:val="0"/>
      <w:marRight w:val="0"/>
      <w:marTop w:val="0"/>
      <w:marBottom w:val="0"/>
      <w:divBdr>
        <w:top w:val="none" w:sz="0" w:space="0" w:color="auto"/>
        <w:left w:val="none" w:sz="0" w:space="0" w:color="auto"/>
        <w:bottom w:val="none" w:sz="0" w:space="0" w:color="auto"/>
        <w:right w:val="none" w:sz="0" w:space="0" w:color="auto"/>
      </w:divBdr>
    </w:div>
    <w:div w:id="451677590">
      <w:bodyDiv w:val="1"/>
      <w:marLeft w:val="0"/>
      <w:marRight w:val="0"/>
      <w:marTop w:val="0"/>
      <w:marBottom w:val="0"/>
      <w:divBdr>
        <w:top w:val="none" w:sz="0" w:space="0" w:color="auto"/>
        <w:left w:val="none" w:sz="0" w:space="0" w:color="auto"/>
        <w:bottom w:val="none" w:sz="0" w:space="0" w:color="auto"/>
        <w:right w:val="none" w:sz="0" w:space="0" w:color="auto"/>
      </w:divBdr>
      <w:divsChild>
        <w:div w:id="28338974">
          <w:marLeft w:val="0"/>
          <w:marRight w:val="0"/>
          <w:marTop w:val="0"/>
          <w:marBottom w:val="0"/>
          <w:divBdr>
            <w:top w:val="none" w:sz="0" w:space="0" w:color="auto"/>
            <w:left w:val="none" w:sz="0" w:space="0" w:color="auto"/>
            <w:bottom w:val="none" w:sz="0" w:space="0" w:color="auto"/>
            <w:right w:val="none" w:sz="0" w:space="0" w:color="auto"/>
          </w:divBdr>
          <w:divsChild>
            <w:div w:id="1835341718">
              <w:marLeft w:val="0"/>
              <w:marRight w:val="0"/>
              <w:marTop w:val="0"/>
              <w:marBottom w:val="0"/>
              <w:divBdr>
                <w:top w:val="none" w:sz="0" w:space="0" w:color="auto"/>
                <w:left w:val="none" w:sz="0" w:space="0" w:color="auto"/>
                <w:bottom w:val="none" w:sz="0" w:space="0" w:color="auto"/>
                <w:right w:val="none" w:sz="0" w:space="0" w:color="auto"/>
              </w:divBdr>
              <w:divsChild>
                <w:div w:id="397486292">
                  <w:marLeft w:val="0"/>
                  <w:marRight w:val="0"/>
                  <w:marTop w:val="0"/>
                  <w:marBottom w:val="0"/>
                  <w:divBdr>
                    <w:top w:val="none" w:sz="0" w:space="0" w:color="auto"/>
                    <w:left w:val="none" w:sz="0" w:space="0" w:color="auto"/>
                    <w:bottom w:val="none" w:sz="0" w:space="0" w:color="auto"/>
                    <w:right w:val="none" w:sz="0" w:space="0" w:color="auto"/>
                  </w:divBdr>
                </w:div>
              </w:divsChild>
            </w:div>
            <w:div w:id="523832020">
              <w:marLeft w:val="0"/>
              <w:marRight w:val="0"/>
              <w:marTop w:val="0"/>
              <w:marBottom w:val="0"/>
              <w:divBdr>
                <w:top w:val="none" w:sz="0" w:space="0" w:color="auto"/>
                <w:left w:val="none" w:sz="0" w:space="0" w:color="auto"/>
                <w:bottom w:val="none" w:sz="0" w:space="0" w:color="auto"/>
                <w:right w:val="none" w:sz="0" w:space="0" w:color="auto"/>
              </w:divBdr>
              <w:divsChild>
                <w:div w:id="16068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6048">
          <w:marLeft w:val="0"/>
          <w:marRight w:val="0"/>
          <w:marTop w:val="0"/>
          <w:marBottom w:val="0"/>
          <w:divBdr>
            <w:top w:val="none" w:sz="0" w:space="0" w:color="auto"/>
            <w:left w:val="none" w:sz="0" w:space="0" w:color="auto"/>
            <w:bottom w:val="none" w:sz="0" w:space="0" w:color="auto"/>
            <w:right w:val="none" w:sz="0" w:space="0" w:color="auto"/>
          </w:divBdr>
          <w:divsChild>
            <w:div w:id="1838884422">
              <w:marLeft w:val="0"/>
              <w:marRight w:val="0"/>
              <w:marTop w:val="0"/>
              <w:marBottom w:val="0"/>
              <w:divBdr>
                <w:top w:val="none" w:sz="0" w:space="0" w:color="auto"/>
                <w:left w:val="none" w:sz="0" w:space="0" w:color="auto"/>
                <w:bottom w:val="none" w:sz="0" w:space="0" w:color="auto"/>
                <w:right w:val="none" w:sz="0" w:space="0" w:color="auto"/>
              </w:divBdr>
              <w:divsChild>
                <w:div w:id="3957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6452">
          <w:marLeft w:val="0"/>
          <w:marRight w:val="0"/>
          <w:marTop w:val="0"/>
          <w:marBottom w:val="0"/>
          <w:divBdr>
            <w:top w:val="none" w:sz="0" w:space="0" w:color="auto"/>
            <w:left w:val="none" w:sz="0" w:space="0" w:color="auto"/>
            <w:bottom w:val="none" w:sz="0" w:space="0" w:color="auto"/>
            <w:right w:val="none" w:sz="0" w:space="0" w:color="auto"/>
          </w:divBdr>
          <w:divsChild>
            <w:div w:id="170529941">
              <w:marLeft w:val="0"/>
              <w:marRight w:val="0"/>
              <w:marTop w:val="0"/>
              <w:marBottom w:val="0"/>
              <w:divBdr>
                <w:top w:val="none" w:sz="0" w:space="0" w:color="auto"/>
                <w:left w:val="none" w:sz="0" w:space="0" w:color="auto"/>
                <w:bottom w:val="none" w:sz="0" w:space="0" w:color="auto"/>
                <w:right w:val="none" w:sz="0" w:space="0" w:color="auto"/>
              </w:divBdr>
              <w:divsChild>
                <w:div w:id="16947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15492">
          <w:marLeft w:val="0"/>
          <w:marRight w:val="0"/>
          <w:marTop w:val="0"/>
          <w:marBottom w:val="0"/>
          <w:divBdr>
            <w:top w:val="none" w:sz="0" w:space="0" w:color="auto"/>
            <w:left w:val="none" w:sz="0" w:space="0" w:color="auto"/>
            <w:bottom w:val="none" w:sz="0" w:space="0" w:color="auto"/>
            <w:right w:val="none" w:sz="0" w:space="0" w:color="auto"/>
          </w:divBdr>
          <w:divsChild>
            <w:div w:id="1007755274">
              <w:marLeft w:val="0"/>
              <w:marRight w:val="0"/>
              <w:marTop w:val="0"/>
              <w:marBottom w:val="0"/>
              <w:divBdr>
                <w:top w:val="none" w:sz="0" w:space="0" w:color="auto"/>
                <w:left w:val="none" w:sz="0" w:space="0" w:color="auto"/>
                <w:bottom w:val="none" w:sz="0" w:space="0" w:color="auto"/>
                <w:right w:val="none" w:sz="0" w:space="0" w:color="auto"/>
              </w:divBdr>
              <w:divsChild>
                <w:div w:id="1973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4798">
      <w:bodyDiv w:val="1"/>
      <w:marLeft w:val="0"/>
      <w:marRight w:val="0"/>
      <w:marTop w:val="0"/>
      <w:marBottom w:val="0"/>
      <w:divBdr>
        <w:top w:val="none" w:sz="0" w:space="0" w:color="auto"/>
        <w:left w:val="none" w:sz="0" w:space="0" w:color="auto"/>
        <w:bottom w:val="none" w:sz="0" w:space="0" w:color="auto"/>
        <w:right w:val="none" w:sz="0" w:space="0" w:color="auto"/>
      </w:divBdr>
    </w:div>
    <w:div w:id="901259742">
      <w:bodyDiv w:val="1"/>
      <w:marLeft w:val="0"/>
      <w:marRight w:val="0"/>
      <w:marTop w:val="0"/>
      <w:marBottom w:val="0"/>
      <w:divBdr>
        <w:top w:val="none" w:sz="0" w:space="0" w:color="auto"/>
        <w:left w:val="none" w:sz="0" w:space="0" w:color="auto"/>
        <w:bottom w:val="none" w:sz="0" w:space="0" w:color="auto"/>
        <w:right w:val="none" w:sz="0" w:space="0" w:color="auto"/>
      </w:divBdr>
    </w:div>
    <w:div w:id="988169571">
      <w:bodyDiv w:val="1"/>
      <w:marLeft w:val="0"/>
      <w:marRight w:val="0"/>
      <w:marTop w:val="0"/>
      <w:marBottom w:val="0"/>
      <w:divBdr>
        <w:top w:val="none" w:sz="0" w:space="0" w:color="auto"/>
        <w:left w:val="none" w:sz="0" w:space="0" w:color="auto"/>
        <w:bottom w:val="none" w:sz="0" w:space="0" w:color="auto"/>
        <w:right w:val="none" w:sz="0" w:space="0" w:color="auto"/>
      </w:divBdr>
      <w:divsChild>
        <w:div w:id="1412460073">
          <w:marLeft w:val="0"/>
          <w:marRight w:val="0"/>
          <w:marTop w:val="0"/>
          <w:marBottom w:val="0"/>
          <w:divBdr>
            <w:top w:val="none" w:sz="0" w:space="0" w:color="auto"/>
            <w:left w:val="none" w:sz="0" w:space="0" w:color="auto"/>
            <w:bottom w:val="none" w:sz="0" w:space="0" w:color="auto"/>
            <w:right w:val="none" w:sz="0" w:space="0" w:color="auto"/>
          </w:divBdr>
          <w:divsChild>
            <w:div w:id="653073989">
              <w:marLeft w:val="0"/>
              <w:marRight w:val="0"/>
              <w:marTop w:val="0"/>
              <w:marBottom w:val="0"/>
              <w:divBdr>
                <w:top w:val="none" w:sz="0" w:space="0" w:color="auto"/>
                <w:left w:val="none" w:sz="0" w:space="0" w:color="auto"/>
                <w:bottom w:val="none" w:sz="0" w:space="0" w:color="auto"/>
                <w:right w:val="none" w:sz="0" w:space="0" w:color="auto"/>
              </w:divBdr>
              <w:divsChild>
                <w:div w:id="345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87972">
      <w:bodyDiv w:val="1"/>
      <w:marLeft w:val="0"/>
      <w:marRight w:val="0"/>
      <w:marTop w:val="0"/>
      <w:marBottom w:val="0"/>
      <w:divBdr>
        <w:top w:val="none" w:sz="0" w:space="0" w:color="auto"/>
        <w:left w:val="none" w:sz="0" w:space="0" w:color="auto"/>
        <w:bottom w:val="none" w:sz="0" w:space="0" w:color="auto"/>
        <w:right w:val="none" w:sz="0" w:space="0" w:color="auto"/>
      </w:divBdr>
      <w:divsChild>
        <w:div w:id="100343515">
          <w:marLeft w:val="0"/>
          <w:marRight w:val="0"/>
          <w:marTop w:val="0"/>
          <w:marBottom w:val="0"/>
          <w:divBdr>
            <w:top w:val="none" w:sz="0" w:space="0" w:color="auto"/>
            <w:left w:val="none" w:sz="0" w:space="0" w:color="auto"/>
            <w:bottom w:val="none" w:sz="0" w:space="0" w:color="auto"/>
            <w:right w:val="none" w:sz="0" w:space="0" w:color="auto"/>
          </w:divBdr>
          <w:divsChild>
            <w:div w:id="2146970360">
              <w:marLeft w:val="0"/>
              <w:marRight w:val="0"/>
              <w:marTop w:val="0"/>
              <w:marBottom w:val="0"/>
              <w:divBdr>
                <w:top w:val="none" w:sz="0" w:space="0" w:color="auto"/>
                <w:left w:val="none" w:sz="0" w:space="0" w:color="auto"/>
                <w:bottom w:val="none" w:sz="0" w:space="0" w:color="auto"/>
                <w:right w:val="none" w:sz="0" w:space="0" w:color="auto"/>
              </w:divBdr>
              <w:divsChild>
                <w:div w:id="8455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7453">
      <w:bodyDiv w:val="1"/>
      <w:marLeft w:val="0"/>
      <w:marRight w:val="0"/>
      <w:marTop w:val="0"/>
      <w:marBottom w:val="0"/>
      <w:divBdr>
        <w:top w:val="none" w:sz="0" w:space="0" w:color="auto"/>
        <w:left w:val="none" w:sz="0" w:space="0" w:color="auto"/>
        <w:bottom w:val="none" w:sz="0" w:space="0" w:color="auto"/>
        <w:right w:val="none" w:sz="0" w:space="0" w:color="auto"/>
      </w:divBdr>
    </w:div>
    <w:div w:id="1730418572">
      <w:bodyDiv w:val="1"/>
      <w:marLeft w:val="0"/>
      <w:marRight w:val="0"/>
      <w:marTop w:val="0"/>
      <w:marBottom w:val="0"/>
      <w:divBdr>
        <w:top w:val="none" w:sz="0" w:space="0" w:color="auto"/>
        <w:left w:val="none" w:sz="0" w:space="0" w:color="auto"/>
        <w:bottom w:val="none" w:sz="0" w:space="0" w:color="auto"/>
        <w:right w:val="none" w:sz="0" w:space="0" w:color="auto"/>
      </w:divBdr>
    </w:div>
    <w:div w:id="1776437642">
      <w:bodyDiv w:val="1"/>
      <w:marLeft w:val="0"/>
      <w:marRight w:val="0"/>
      <w:marTop w:val="0"/>
      <w:marBottom w:val="0"/>
      <w:divBdr>
        <w:top w:val="none" w:sz="0" w:space="0" w:color="auto"/>
        <w:left w:val="none" w:sz="0" w:space="0" w:color="auto"/>
        <w:bottom w:val="none" w:sz="0" w:space="0" w:color="auto"/>
        <w:right w:val="none" w:sz="0" w:space="0" w:color="auto"/>
      </w:divBdr>
    </w:div>
    <w:div w:id="1852796028">
      <w:bodyDiv w:val="1"/>
      <w:marLeft w:val="0"/>
      <w:marRight w:val="0"/>
      <w:marTop w:val="0"/>
      <w:marBottom w:val="0"/>
      <w:divBdr>
        <w:top w:val="none" w:sz="0" w:space="0" w:color="auto"/>
        <w:left w:val="none" w:sz="0" w:space="0" w:color="auto"/>
        <w:bottom w:val="none" w:sz="0" w:space="0" w:color="auto"/>
        <w:right w:val="none" w:sz="0" w:space="0" w:color="auto"/>
      </w:divBdr>
    </w:div>
    <w:div w:id="2007442466">
      <w:bodyDiv w:val="1"/>
      <w:marLeft w:val="0"/>
      <w:marRight w:val="0"/>
      <w:marTop w:val="0"/>
      <w:marBottom w:val="0"/>
      <w:divBdr>
        <w:top w:val="none" w:sz="0" w:space="0" w:color="auto"/>
        <w:left w:val="none" w:sz="0" w:space="0" w:color="auto"/>
        <w:bottom w:val="none" w:sz="0" w:space="0" w:color="auto"/>
        <w:right w:val="none" w:sz="0" w:space="0" w:color="auto"/>
      </w:divBdr>
    </w:div>
    <w:div w:id="2024359104">
      <w:bodyDiv w:val="1"/>
      <w:marLeft w:val="0"/>
      <w:marRight w:val="0"/>
      <w:marTop w:val="0"/>
      <w:marBottom w:val="0"/>
      <w:divBdr>
        <w:top w:val="none" w:sz="0" w:space="0" w:color="auto"/>
        <w:left w:val="none" w:sz="0" w:space="0" w:color="auto"/>
        <w:bottom w:val="none" w:sz="0" w:space="0" w:color="auto"/>
        <w:right w:val="none" w:sz="0" w:space="0" w:color="auto"/>
      </w:divBdr>
      <w:divsChild>
        <w:div w:id="1340887626">
          <w:marLeft w:val="0"/>
          <w:marRight w:val="0"/>
          <w:marTop w:val="0"/>
          <w:marBottom w:val="0"/>
          <w:divBdr>
            <w:top w:val="none" w:sz="0" w:space="0" w:color="auto"/>
            <w:left w:val="none" w:sz="0" w:space="0" w:color="auto"/>
            <w:bottom w:val="none" w:sz="0" w:space="0" w:color="auto"/>
            <w:right w:val="none" w:sz="0" w:space="0" w:color="auto"/>
          </w:divBdr>
          <w:divsChild>
            <w:div w:id="274099667">
              <w:marLeft w:val="0"/>
              <w:marRight w:val="0"/>
              <w:marTop w:val="0"/>
              <w:marBottom w:val="0"/>
              <w:divBdr>
                <w:top w:val="none" w:sz="0" w:space="0" w:color="auto"/>
                <w:left w:val="none" w:sz="0" w:space="0" w:color="auto"/>
                <w:bottom w:val="none" w:sz="0" w:space="0" w:color="auto"/>
                <w:right w:val="none" w:sz="0" w:space="0" w:color="auto"/>
              </w:divBdr>
              <w:divsChild>
                <w:div w:id="9539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10303">
      <w:bodyDiv w:val="1"/>
      <w:marLeft w:val="0"/>
      <w:marRight w:val="0"/>
      <w:marTop w:val="0"/>
      <w:marBottom w:val="0"/>
      <w:divBdr>
        <w:top w:val="none" w:sz="0" w:space="0" w:color="auto"/>
        <w:left w:val="none" w:sz="0" w:space="0" w:color="auto"/>
        <w:bottom w:val="none" w:sz="0" w:space="0" w:color="auto"/>
        <w:right w:val="none" w:sz="0" w:space="0" w:color="auto"/>
      </w:divBdr>
      <w:divsChild>
        <w:div w:id="9540215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3548565241261992" TargetMode="External"/><Relationship Id="rId3" Type="http://schemas.openxmlformats.org/officeDocument/2006/relationships/settings" Target="settings.xml"/><Relationship Id="rId7" Type="http://schemas.openxmlformats.org/officeDocument/2006/relationships/hyperlink" Target="https://doi.org/10.1386/macp_00070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13548565241268057" TargetMode="External"/><Relationship Id="rId11" Type="http://schemas.openxmlformats.org/officeDocument/2006/relationships/theme" Target="theme/theme1.xml"/><Relationship Id="rId5" Type="http://schemas.openxmlformats.org/officeDocument/2006/relationships/hyperlink" Target="https://comunicacionysociedad.cucsh.udg.mx/index.php/comsoc/article/view/e8030/63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77/17496020211044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RAATS</dc:creator>
  <cp:keywords/>
  <dc:description/>
  <cp:lastModifiedBy>Tim RAATS</cp:lastModifiedBy>
  <cp:revision>14</cp:revision>
  <dcterms:created xsi:type="dcterms:W3CDTF">2024-09-08T11:26:00Z</dcterms:created>
  <dcterms:modified xsi:type="dcterms:W3CDTF">2024-09-09T20:24:00Z</dcterms:modified>
</cp:coreProperties>
</file>